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88F" w:rsidRPr="00DB388F" w:rsidRDefault="00DB388F" w:rsidP="00DB388F">
      <w:pPr>
        <w:spacing w:after="0" w:line="240" w:lineRule="auto"/>
        <w:rPr>
          <w:rFonts w:ascii="Times New Roman" w:eastAsia="Times New Roman" w:hAnsi="Times New Roman" w:cs="Times New Roman"/>
          <w:sz w:val="24"/>
          <w:szCs w:val="24"/>
        </w:rPr>
      </w:pPr>
      <w:r w:rsidRPr="00DB388F">
        <w:rPr>
          <w:rFonts w:ascii="Times New Roman" w:eastAsia="Times New Roman" w:hAnsi="Times New Roman" w:cs="Times New Roman"/>
          <w:noProof/>
          <w:color w:val="0000FF"/>
          <w:sz w:val="24"/>
          <w:szCs w:val="24"/>
        </w:rPr>
        <w:drawing>
          <wp:inline distT="0" distB="0" distL="0" distR="0">
            <wp:extent cx="1870710" cy="2856865"/>
            <wp:effectExtent l="0" t="0" r="0" b="635"/>
            <wp:docPr id="1" name="Picture 1" descr="http://davinawellness.com/wp-content/uploads/2016/08/scienceus-196x300.jpg">
              <a:hlinkClick xmlns:a="http://schemas.openxmlformats.org/drawingml/2006/main" r:id="rId4" tooltip="&quot;Essential Oil Adulteration – Part 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avinawellness.com/wp-content/uploads/2016/08/scienceus-196x300.jpg">
                      <a:hlinkClick r:id="rId4" tooltip="&quot;Essential Oil Adulteration – Part 1&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0710" cy="2856865"/>
                    </a:xfrm>
                    <a:prstGeom prst="rect">
                      <a:avLst/>
                    </a:prstGeom>
                    <a:noFill/>
                    <a:ln>
                      <a:noFill/>
                    </a:ln>
                  </pic:spPr>
                </pic:pic>
              </a:graphicData>
            </a:graphic>
          </wp:inline>
        </w:drawing>
      </w:r>
    </w:p>
    <w:p w:rsidR="00DB388F" w:rsidRPr="00DB388F" w:rsidRDefault="00DB388F" w:rsidP="00DB388F">
      <w:pPr>
        <w:spacing w:before="100" w:beforeAutospacing="1" w:after="100" w:afterAutospacing="1" w:line="240" w:lineRule="auto"/>
        <w:outlineLvl w:val="0"/>
        <w:rPr>
          <w:rFonts w:ascii="Times New Roman" w:eastAsia="Times New Roman" w:hAnsi="Times New Roman" w:cs="Times New Roman"/>
          <w:b/>
          <w:bCs/>
          <w:kern w:val="36"/>
          <w:sz w:val="48"/>
          <w:szCs w:val="48"/>
        </w:rPr>
      </w:pPr>
      <w:hyperlink r:id="rId6" w:tooltip="Permanent Link: Essential Oil Adulteration – Part 1" w:history="1">
        <w:r w:rsidRPr="00DB388F">
          <w:rPr>
            <w:rFonts w:ascii="Times New Roman" w:eastAsia="Times New Roman" w:hAnsi="Times New Roman" w:cs="Times New Roman"/>
            <w:b/>
            <w:bCs/>
            <w:color w:val="0000FF"/>
            <w:kern w:val="36"/>
            <w:sz w:val="48"/>
            <w:szCs w:val="48"/>
            <w:u w:val="single"/>
          </w:rPr>
          <w:t xml:space="preserve">Essential Oil Adulteration – Part 1 </w:t>
        </w:r>
      </w:hyperlink>
    </w:p>
    <w:p w:rsidR="00DB388F" w:rsidRPr="00DB388F" w:rsidRDefault="00DB388F" w:rsidP="00DB388F">
      <w:pPr>
        <w:spacing w:before="100" w:beforeAutospacing="1" w:after="100" w:afterAutospacing="1" w:line="240" w:lineRule="auto"/>
        <w:rPr>
          <w:rFonts w:ascii="Times New Roman" w:eastAsia="Times New Roman" w:hAnsi="Times New Roman" w:cs="Times New Roman"/>
          <w:sz w:val="24"/>
          <w:szCs w:val="24"/>
        </w:rPr>
      </w:pPr>
      <w:r w:rsidRPr="00DB388F">
        <w:rPr>
          <w:rFonts w:ascii="Times New Roman" w:eastAsia="Times New Roman" w:hAnsi="Times New Roman" w:cs="Times New Roman"/>
          <w:b/>
          <w:bCs/>
          <w:sz w:val="24"/>
          <w:szCs w:val="24"/>
        </w:rPr>
        <w:t>What is Adulteration?</w:t>
      </w:r>
    </w:p>
    <w:p w:rsidR="00DB388F" w:rsidRPr="00DB388F" w:rsidRDefault="00DB388F" w:rsidP="00DB388F">
      <w:pPr>
        <w:spacing w:before="100" w:beforeAutospacing="1" w:after="100" w:afterAutospacing="1" w:line="240" w:lineRule="auto"/>
        <w:rPr>
          <w:rFonts w:ascii="Times New Roman" w:eastAsia="Times New Roman" w:hAnsi="Times New Roman" w:cs="Times New Roman"/>
          <w:sz w:val="24"/>
          <w:szCs w:val="24"/>
        </w:rPr>
      </w:pPr>
      <w:r w:rsidRPr="00DB388F">
        <w:rPr>
          <w:rFonts w:ascii="Times New Roman" w:eastAsia="Times New Roman" w:hAnsi="Times New Roman" w:cs="Times New Roman"/>
          <w:sz w:val="24"/>
          <w:szCs w:val="24"/>
        </w:rPr>
        <w:t xml:space="preserve">Essential oil adulteration is when the oil that has been distilled or expressed is changed in some way, either by adding substance or taking them away. Adulterants can be anything from a non-volatile carrier oil, to cheap synthetic chemical fragrances, or anything in between.  As competition in the essential oil heats up, more and more companies are using adulteration to decrease cost.  This problem is so prevalent that one major industry expert, Dr. Robert Pappas, has stated that 95% of essential oils on the market are adulterated. There are four different types of adulteration Dr. Pappas </w:t>
      </w:r>
      <w:proofErr w:type="gramStart"/>
      <w:r w:rsidRPr="00DB388F">
        <w:rPr>
          <w:rFonts w:ascii="Times New Roman" w:eastAsia="Times New Roman" w:hAnsi="Times New Roman" w:cs="Times New Roman"/>
          <w:sz w:val="24"/>
          <w:szCs w:val="24"/>
        </w:rPr>
        <w:t>identifies(</w:t>
      </w:r>
      <w:proofErr w:type="gramEnd"/>
      <w:r w:rsidRPr="00DB388F">
        <w:rPr>
          <w:rFonts w:ascii="Times New Roman" w:eastAsia="Times New Roman" w:hAnsi="Times New Roman" w:cs="Times New Roman"/>
          <w:sz w:val="24"/>
          <w:szCs w:val="24"/>
        </w:rPr>
        <w:t>1). Here, we will discuss the first type and the testing we use to protect you.</w:t>
      </w:r>
    </w:p>
    <w:p w:rsidR="00DB388F" w:rsidRPr="00DB388F" w:rsidRDefault="00DB388F" w:rsidP="00DB388F">
      <w:pPr>
        <w:spacing w:before="100" w:beforeAutospacing="1" w:after="100" w:afterAutospacing="1" w:line="240" w:lineRule="auto"/>
        <w:rPr>
          <w:rFonts w:ascii="Times New Roman" w:eastAsia="Times New Roman" w:hAnsi="Times New Roman" w:cs="Times New Roman"/>
          <w:sz w:val="24"/>
          <w:szCs w:val="24"/>
        </w:rPr>
      </w:pPr>
      <w:r w:rsidRPr="00DB388F">
        <w:rPr>
          <w:rFonts w:ascii="Times New Roman" w:eastAsia="Times New Roman" w:hAnsi="Times New Roman" w:cs="Times New Roman"/>
          <w:b/>
          <w:bCs/>
          <w:sz w:val="24"/>
          <w:szCs w:val="24"/>
        </w:rPr>
        <w:t xml:space="preserve">Type 1 </w:t>
      </w:r>
      <w:r w:rsidRPr="00DB388F">
        <w:rPr>
          <w:rFonts w:ascii="Times New Roman" w:eastAsia="Times New Roman" w:hAnsi="Times New Roman" w:cs="Times New Roman"/>
          <w:sz w:val="24"/>
          <w:szCs w:val="24"/>
        </w:rPr>
        <w:t>is a non-volatile addition, such as a carrier oil, in which the primary oil is mixed. The essential oil is then sold and marked as ‘full strength’ or “100% oil” with the customer having no idea the oil is diluted. This type of adulteration is not as common as it was in the past, and standard GC/MS testing as well as HPLC can catch this type of adulteration.</w:t>
      </w:r>
    </w:p>
    <w:p w:rsidR="00DB388F" w:rsidRPr="00DB388F" w:rsidRDefault="00DB388F" w:rsidP="00DB388F">
      <w:pPr>
        <w:spacing w:before="100" w:beforeAutospacing="1" w:after="100" w:afterAutospacing="1" w:line="240" w:lineRule="auto"/>
        <w:rPr>
          <w:rFonts w:ascii="Times New Roman" w:eastAsia="Times New Roman" w:hAnsi="Times New Roman" w:cs="Times New Roman"/>
          <w:sz w:val="24"/>
          <w:szCs w:val="24"/>
        </w:rPr>
      </w:pPr>
      <w:r w:rsidRPr="00DB388F">
        <w:rPr>
          <w:rFonts w:ascii="Times New Roman" w:eastAsia="Times New Roman" w:hAnsi="Times New Roman" w:cs="Times New Roman"/>
          <w:b/>
          <w:bCs/>
          <w:sz w:val="24"/>
          <w:szCs w:val="24"/>
        </w:rPr>
        <w:t>GC/MS</w:t>
      </w:r>
    </w:p>
    <w:p w:rsidR="00DB388F" w:rsidRPr="00DB388F" w:rsidRDefault="00DB388F" w:rsidP="00DB388F">
      <w:pPr>
        <w:spacing w:before="100" w:beforeAutospacing="1" w:after="100" w:afterAutospacing="1" w:line="240" w:lineRule="auto"/>
        <w:rPr>
          <w:rFonts w:ascii="Times New Roman" w:eastAsia="Times New Roman" w:hAnsi="Times New Roman" w:cs="Times New Roman"/>
          <w:sz w:val="24"/>
          <w:szCs w:val="24"/>
        </w:rPr>
      </w:pPr>
      <w:r w:rsidRPr="00DB388F">
        <w:rPr>
          <w:rFonts w:ascii="Times New Roman" w:eastAsia="Times New Roman" w:hAnsi="Times New Roman" w:cs="Times New Roman"/>
          <w:sz w:val="24"/>
          <w:szCs w:val="24"/>
        </w:rPr>
        <w:t xml:space="preserve">Gas Chromatography (GC) is the process of distributing an essential oil’s volatile compounds into its individual constituents, then producing a graph showing the oil’s components. Mass spectrometry (MS) classifies each constituent along with its percentage of the entire oil’s chemical makeup. This process identifies any potential adulteration and contaminants including carrier oils or other non-volatiles, making GC/MS a commonly used testing method for essential oils. Using this process, compounds are broken down into their individual chemical components where they can be analyzed. Since the therapeutic effects of essential oils are largely </w:t>
      </w:r>
      <w:proofErr w:type="spellStart"/>
      <w:r w:rsidRPr="00DB388F">
        <w:rPr>
          <w:rFonts w:ascii="Times New Roman" w:eastAsia="Times New Roman" w:hAnsi="Times New Roman" w:cs="Times New Roman"/>
          <w:sz w:val="24"/>
          <w:szCs w:val="24"/>
        </w:rPr>
        <w:t>dependant</w:t>
      </w:r>
      <w:proofErr w:type="spellEnd"/>
      <w:r w:rsidRPr="00DB388F">
        <w:rPr>
          <w:rFonts w:ascii="Times New Roman" w:eastAsia="Times New Roman" w:hAnsi="Times New Roman" w:cs="Times New Roman"/>
          <w:sz w:val="24"/>
          <w:szCs w:val="24"/>
        </w:rPr>
        <w:t xml:space="preserve"> upon their chemical content, understanding their composition is vital.</w:t>
      </w:r>
    </w:p>
    <w:p w:rsidR="00DB388F" w:rsidRPr="00DB388F" w:rsidRDefault="00DB388F" w:rsidP="00DB388F">
      <w:pPr>
        <w:spacing w:before="100" w:beforeAutospacing="1" w:after="100" w:afterAutospacing="1" w:line="240" w:lineRule="auto"/>
        <w:rPr>
          <w:rFonts w:ascii="Times New Roman" w:eastAsia="Times New Roman" w:hAnsi="Times New Roman" w:cs="Times New Roman"/>
          <w:sz w:val="24"/>
          <w:szCs w:val="24"/>
        </w:rPr>
      </w:pPr>
      <w:r w:rsidRPr="00DB388F">
        <w:rPr>
          <w:rFonts w:ascii="Times New Roman" w:eastAsia="Times New Roman" w:hAnsi="Times New Roman" w:cs="Times New Roman"/>
          <w:b/>
          <w:bCs/>
          <w:sz w:val="24"/>
          <w:szCs w:val="24"/>
        </w:rPr>
        <w:lastRenderedPageBreak/>
        <w:t>HPLC</w:t>
      </w:r>
    </w:p>
    <w:p w:rsidR="00DB388F" w:rsidRPr="00DB388F" w:rsidRDefault="00DB388F" w:rsidP="00DB388F">
      <w:pPr>
        <w:spacing w:before="100" w:beforeAutospacing="1" w:after="100" w:afterAutospacing="1" w:line="240" w:lineRule="auto"/>
        <w:rPr>
          <w:rFonts w:ascii="Times New Roman" w:eastAsia="Times New Roman" w:hAnsi="Times New Roman" w:cs="Times New Roman"/>
          <w:sz w:val="24"/>
          <w:szCs w:val="24"/>
        </w:rPr>
      </w:pPr>
      <w:r w:rsidRPr="00DB388F">
        <w:rPr>
          <w:rFonts w:ascii="Times New Roman" w:eastAsia="Times New Roman" w:hAnsi="Times New Roman" w:cs="Times New Roman"/>
          <w:sz w:val="24"/>
          <w:szCs w:val="24"/>
        </w:rPr>
        <w:t xml:space="preserve">Reversed-phase high performance liquid chromatography (HPLC) was developed to study the composition of nonvolatile constituents in essential oils of major citrus species, and is very effective at finding non-volatile adulterations. There are oils, primarily citrus, that have naturally occurring non-volatile components, but these should be present within known proportions. For example, the volatile portion of citrus oils should be 85-99% of the oil by weight. The nonvolatile fraction in citrus essential oils ranges between 1% in some sweet orange oils, and 15% in key lime expressed oil [9](2). These constituents are considered non-volatile because regular gas chromatography doesn’t vaporize them. HPLC was developed for this purpose it has become an important tool in the analysis of non-volatile constituents. </w:t>
      </w:r>
    </w:p>
    <w:p w:rsidR="00DB388F" w:rsidRPr="00DB388F" w:rsidRDefault="00DB388F" w:rsidP="00DB388F">
      <w:pPr>
        <w:spacing w:before="100" w:beforeAutospacing="1" w:after="100" w:afterAutospacing="1" w:line="240" w:lineRule="auto"/>
        <w:rPr>
          <w:rFonts w:ascii="Times New Roman" w:eastAsia="Times New Roman" w:hAnsi="Times New Roman" w:cs="Times New Roman"/>
          <w:sz w:val="24"/>
          <w:szCs w:val="24"/>
        </w:rPr>
      </w:pPr>
      <w:r w:rsidRPr="00DB388F">
        <w:rPr>
          <w:rFonts w:ascii="Times New Roman" w:eastAsia="Times New Roman" w:hAnsi="Times New Roman" w:cs="Times New Roman"/>
          <w:sz w:val="24"/>
          <w:szCs w:val="24"/>
        </w:rPr>
        <w:t>Choose a reputable essential oil company that uses both GC/MS and HPLC testing to ensure you have oils that are free from this type of adulteration.</w:t>
      </w:r>
    </w:p>
    <w:p w:rsidR="00DB388F" w:rsidRDefault="00DB388F" w:rsidP="00DB388F">
      <w:pPr>
        <w:spacing w:before="100" w:beforeAutospacing="1" w:after="100" w:afterAutospacing="1" w:line="240" w:lineRule="auto"/>
        <w:rPr>
          <w:rFonts w:ascii="Times New Roman" w:eastAsia="Times New Roman" w:hAnsi="Times New Roman" w:cs="Times New Roman"/>
          <w:sz w:val="24"/>
          <w:szCs w:val="24"/>
        </w:rPr>
      </w:pPr>
      <w:r w:rsidRPr="00DB388F">
        <w:rPr>
          <w:rFonts w:ascii="Times New Roman" w:eastAsia="Times New Roman" w:hAnsi="Times New Roman" w:cs="Times New Roman"/>
          <w:sz w:val="24"/>
          <w:szCs w:val="24"/>
        </w:rPr>
        <w:t>For more information on this subject, continue reading in the upcoming Part 2 of adulteration.</w:t>
      </w:r>
    </w:p>
    <w:p w:rsidR="00DB388F" w:rsidRDefault="00DB388F" w:rsidP="00DB388F">
      <w:pPr>
        <w:spacing w:before="100" w:beforeAutospacing="1" w:after="100" w:afterAutospacing="1" w:line="240" w:lineRule="auto"/>
        <w:rPr>
          <w:rFonts w:ascii="Times New Roman" w:eastAsia="Times New Roman" w:hAnsi="Times New Roman" w:cs="Times New Roman"/>
          <w:sz w:val="24"/>
          <w:szCs w:val="24"/>
        </w:rPr>
      </w:pPr>
    </w:p>
    <w:p w:rsidR="00DB388F" w:rsidRPr="00DB388F" w:rsidRDefault="00DB388F" w:rsidP="00DB388F">
      <w:pPr>
        <w:spacing w:after="0" w:line="240" w:lineRule="auto"/>
        <w:rPr>
          <w:rFonts w:ascii="Times New Roman" w:eastAsia="Times New Roman" w:hAnsi="Times New Roman" w:cs="Times New Roman"/>
          <w:sz w:val="24"/>
          <w:szCs w:val="24"/>
        </w:rPr>
      </w:pPr>
      <w:r w:rsidRPr="00DB388F">
        <w:rPr>
          <w:rFonts w:ascii="Times New Roman" w:eastAsia="Times New Roman" w:hAnsi="Times New Roman" w:cs="Times New Roman"/>
          <w:noProof/>
          <w:color w:val="0000FF"/>
          <w:sz w:val="24"/>
          <w:szCs w:val="24"/>
        </w:rPr>
        <w:drawing>
          <wp:inline distT="0" distB="0" distL="0" distR="0">
            <wp:extent cx="2575560" cy="2378710"/>
            <wp:effectExtent l="0" t="0" r="0" b="2540"/>
            <wp:docPr id="2" name="Picture 2" descr="http://davinawellness.com/wp-content/uploads/2016/09/adulterated-essential-oils-270x250.jpg">
              <a:hlinkClick xmlns:a="http://schemas.openxmlformats.org/drawingml/2006/main" r:id="rId7" tooltip="&quot;Essential Oil Adulteration part 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avinawellness.com/wp-content/uploads/2016/09/adulterated-essential-oils-270x250.jpg">
                      <a:hlinkClick r:id="rId7" tooltip="&quot;Essential Oil Adulteration part 2&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5560" cy="2378710"/>
                    </a:xfrm>
                    <a:prstGeom prst="rect">
                      <a:avLst/>
                    </a:prstGeom>
                    <a:noFill/>
                    <a:ln>
                      <a:noFill/>
                    </a:ln>
                  </pic:spPr>
                </pic:pic>
              </a:graphicData>
            </a:graphic>
          </wp:inline>
        </w:drawing>
      </w:r>
    </w:p>
    <w:p w:rsidR="00DB388F" w:rsidRPr="00DB388F" w:rsidRDefault="00DB388F" w:rsidP="00DB388F">
      <w:pPr>
        <w:spacing w:before="100" w:beforeAutospacing="1" w:after="100" w:afterAutospacing="1" w:line="240" w:lineRule="auto"/>
        <w:outlineLvl w:val="0"/>
        <w:rPr>
          <w:rFonts w:ascii="Times New Roman" w:eastAsia="Times New Roman" w:hAnsi="Times New Roman" w:cs="Times New Roman"/>
          <w:b/>
          <w:bCs/>
          <w:kern w:val="36"/>
          <w:sz w:val="48"/>
          <w:szCs w:val="48"/>
        </w:rPr>
      </w:pPr>
      <w:hyperlink r:id="rId9" w:tooltip="Permanent Link: Essential Oil Adulteration part 2" w:history="1">
        <w:r w:rsidRPr="00DB388F">
          <w:rPr>
            <w:rFonts w:ascii="Times New Roman" w:eastAsia="Times New Roman" w:hAnsi="Times New Roman" w:cs="Times New Roman"/>
            <w:b/>
            <w:bCs/>
            <w:color w:val="0000FF"/>
            <w:kern w:val="36"/>
            <w:sz w:val="48"/>
            <w:szCs w:val="48"/>
            <w:u w:val="single"/>
          </w:rPr>
          <w:t xml:space="preserve">Essential Oil Adulteration part 2 </w:t>
        </w:r>
      </w:hyperlink>
    </w:p>
    <w:p w:rsidR="00DB388F" w:rsidRPr="00DB388F" w:rsidRDefault="00DB388F" w:rsidP="00DB388F">
      <w:pPr>
        <w:spacing w:before="100" w:beforeAutospacing="1" w:after="100" w:afterAutospacing="1" w:line="240" w:lineRule="auto"/>
        <w:rPr>
          <w:rFonts w:ascii="Times New Roman" w:eastAsia="Times New Roman" w:hAnsi="Times New Roman" w:cs="Times New Roman"/>
          <w:sz w:val="24"/>
          <w:szCs w:val="24"/>
        </w:rPr>
      </w:pPr>
      <w:r w:rsidRPr="00DB388F">
        <w:rPr>
          <w:rFonts w:ascii="Times New Roman" w:eastAsia="Times New Roman" w:hAnsi="Times New Roman" w:cs="Times New Roman"/>
          <w:sz w:val="24"/>
          <w:szCs w:val="24"/>
        </w:rPr>
        <w:t>Another common adulteration is blending with less expensive, lower quality oils. Cinnamon bark, for example, is often mixed with cassia. Cassia is much cheaper, while sharing a similar composition to cinnamon (though inferior therapeutically), which tempts some to mix the cheap cassia oil with the expensive cinnamon bark to maximize profits. Testing with GC/MS and careful analysis will detect the blending of essential oils.</w:t>
      </w:r>
    </w:p>
    <w:p w:rsidR="00DB388F" w:rsidRPr="00DB388F" w:rsidRDefault="00DB388F" w:rsidP="00DB388F">
      <w:pPr>
        <w:spacing w:before="100" w:beforeAutospacing="1" w:after="100" w:afterAutospacing="1" w:line="240" w:lineRule="auto"/>
        <w:rPr>
          <w:rFonts w:ascii="Times New Roman" w:eastAsia="Times New Roman" w:hAnsi="Times New Roman" w:cs="Times New Roman"/>
          <w:sz w:val="24"/>
          <w:szCs w:val="24"/>
        </w:rPr>
      </w:pPr>
      <w:r w:rsidRPr="00DB388F">
        <w:rPr>
          <w:rFonts w:ascii="Times New Roman" w:eastAsia="Times New Roman" w:hAnsi="Times New Roman" w:cs="Times New Roman"/>
          <w:sz w:val="24"/>
          <w:szCs w:val="24"/>
        </w:rPr>
        <w:t xml:space="preserve">GC/MS along with proper analysis can pick up this type of adulteration due to the presence of constituents that don’t belong. For example, </w:t>
      </w:r>
      <w:proofErr w:type="spellStart"/>
      <w:r w:rsidRPr="00DB388F">
        <w:rPr>
          <w:rFonts w:ascii="Times New Roman" w:eastAsia="Times New Roman" w:hAnsi="Times New Roman" w:cs="Times New Roman"/>
          <w:sz w:val="24"/>
          <w:szCs w:val="24"/>
        </w:rPr>
        <w:t>bergamottin</w:t>
      </w:r>
      <w:proofErr w:type="spellEnd"/>
      <w:r w:rsidRPr="00DB388F">
        <w:rPr>
          <w:rFonts w:ascii="Times New Roman" w:eastAsia="Times New Roman" w:hAnsi="Times New Roman" w:cs="Times New Roman"/>
          <w:sz w:val="24"/>
          <w:szCs w:val="24"/>
        </w:rPr>
        <w:t xml:space="preserve"> and 5-geranyloxy-7-methoxycoumarin, which belong to the </w:t>
      </w:r>
      <w:proofErr w:type="spellStart"/>
      <w:r w:rsidRPr="00DB388F">
        <w:rPr>
          <w:rFonts w:ascii="Times New Roman" w:eastAsia="Times New Roman" w:hAnsi="Times New Roman" w:cs="Times New Roman"/>
          <w:sz w:val="24"/>
          <w:szCs w:val="24"/>
        </w:rPr>
        <w:t>furocoumarin</w:t>
      </w:r>
      <w:proofErr w:type="spellEnd"/>
      <w:r w:rsidRPr="00DB388F">
        <w:rPr>
          <w:rFonts w:ascii="Times New Roman" w:eastAsia="Times New Roman" w:hAnsi="Times New Roman" w:cs="Times New Roman"/>
          <w:sz w:val="24"/>
          <w:szCs w:val="24"/>
        </w:rPr>
        <w:t xml:space="preserve"> family, are not supposed to be present in orange oil. </w:t>
      </w:r>
      <w:proofErr w:type="spellStart"/>
      <w:r w:rsidRPr="00DB388F">
        <w:rPr>
          <w:rFonts w:ascii="Times New Roman" w:eastAsia="Times New Roman" w:hAnsi="Times New Roman" w:cs="Times New Roman"/>
          <w:sz w:val="24"/>
          <w:szCs w:val="24"/>
        </w:rPr>
        <w:lastRenderedPageBreak/>
        <w:t>Bergamottin</w:t>
      </w:r>
      <w:proofErr w:type="spellEnd"/>
      <w:r w:rsidRPr="00DB388F">
        <w:rPr>
          <w:rFonts w:ascii="Times New Roman" w:eastAsia="Times New Roman" w:hAnsi="Times New Roman" w:cs="Times New Roman"/>
          <w:sz w:val="24"/>
          <w:szCs w:val="24"/>
        </w:rPr>
        <w:t xml:space="preserve"> and 5-geranyloxy-7-methoxycoumarin are found in both lemon and lime essential oils and their presence in orange oil suggests interspecies </w:t>
      </w:r>
      <w:proofErr w:type="gramStart"/>
      <w:r w:rsidRPr="00DB388F">
        <w:rPr>
          <w:rFonts w:ascii="Times New Roman" w:eastAsia="Times New Roman" w:hAnsi="Times New Roman" w:cs="Times New Roman"/>
          <w:sz w:val="24"/>
          <w:szCs w:val="24"/>
        </w:rPr>
        <w:t>adulteration(</w:t>
      </w:r>
      <w:proofErr w:type="gramEnd"/>
      <w:r w:rsidRPr="00DB388F">
        <w:rPr>
          <w:rFonts w:ascii="Times New Roman" w:eastAsia="Times New Roman" w:hAnsi="Times New Roman" w:cs="Times New Roman"/>
          <w:sz w:val="24"/>
          <w:szCs w:val="24"/>
        </w:rPr>
        <w:t xml:space="preserve">1). </w:t>
      </w:r>
    </w:p>
    <w:p w:rsidR="00DB388F" w:rsidRPr="00DB388F" w:rsidRDefault="00DB388F" w:rsidP="00DB388F">
      <w:pPr>
        <w:spacing w:before="100" w:beforeAutospacing="1" w:after="100" w:afterAutospacing="1" w:line="240" w:lineRule="auto"/>
        <w:rPr>
          <w:rFonts w:ascii="Times New Roman" w:eastAsia="Times New Roman" w:hAnsi="Times New Roman" w:cs="Times New Roman"/>
          <w:sz w:val="24"/>
          <w:szCs w:val="24"/>
        </w:rPr>
      </w:pPr>
      <w:r w:rsidRPr="00DB388F">
        <w:rPr>
          <w:rFonts w:ascii="Times New Roman" w:eastAsia="Times New Roman" w:hAnsi="Times New Roman" w:cs="Times New Roman"/>
          <w:b/>
          <w:bCs/>
          <w:sz w:val="24"/>
          <w:szCs w:val="24"/>
        </w:rPr>
        <w:t>GC/MS</w:t>
      </w:r>
    </w:p>
    <w:p w:rsidR="00DB388F" w:rsidRPr="00DB388F" w:rsidRDefault="00DB388F" w:rsidP="00DB388F">
      <w:pPr>
        <w:spacing w:before="100" w:beforeAutospacing="1" w:after="100" w:afterAutospacing="1" w:line="240" w:lineRule="auto"/>
        <w:rPr>
          <w:rFonts w:ascii="Times New Roman" w:eastAsia="Times New Roman" w:hAnsi="Times New Roman" w:cs="Times New Roman"/>
          <w:sz w:val="24"/>
          <w:szCs w:val="24"/>
        </w:rPr>
      </w:pPr>
      <w:r w:rsidRPr="00DB388F">
        <w:rPr>
          <w:rFonts w:ascii="Times New Roman" w:eastAsia="Times New Roman" w:hAnsi="Times New Roman" w:cs="Times New Roman"/>
          <w:sz w:val="24"/>
          <w:szCs w:val="24"/>
        </w:rPr>
        <w:t xml:space="preserve">As we covered in part 1, Gas Chromatography (GC) is the process of distributing an essential oil’s volatile compounds into its individual constituents, then producing a graph showing the oil’s components. Mass spectrometry (MS) classifies each constituent along with its percentage of the entire oil’s chemical makeup. This process identifies any potential adulteration and contaminants, and in this case, identifying the oil’s complete chemical makeup -along with expert, unbiased analysis- is the key. In-house testing, while impressive sounding, can also be biased, especially when there is so much profit to be made from adulteration. The consumer’s best option is to look for companies who use reputable 3rd party testing and analysts, and who readily offer those findings to customers. </w:t>
      </w:r>
    </w:p>
    <w:p w:rsidR="00DB388F" w:rsidRPr="00DB388F" w:rsidRDefault="00DB388F" w:rsidP="00DB388F">
      <w:pPr>
        <w:spacing w:before="100" w:beforeAutospacing="1" w:after="100" w:afterAutospacing="1" w:line="240" w:lineRule="auto"/>
        <w:rPr>
          <w:rFonts w:ascii="Times New Roman" w:eastAsia="Times New Roman" w:hAnsi="Times New Roman" w:cs="Times New Roman"/>
          <w:sz w:val="24"/>
          <w:szCs w:val="24"/>
        </w:rPr>
      </w:pPr>
      <w:r w:rsidRPr="00DB388F">
        <w:rPr>
          <w:rFonts w:ascii="Times New Roman" w:eastAsia="Times New Roman" w:hAnsi="Times New Roman" w:cs="Times New Roman"/>
          <w:b/>
          <w:bCs/>
          <w:sz w:val="24"/>
          <w:szCs w:val="24"/>
        </w:rPr>
        <w:t>References</w:t>
      </w:r>
    </w:p>
    <w:p w:rsidR="00DB388F" w:rsidRPr="00DB388F" w:rsidRDefault="00DB388F" w:rsidP="00DB388F">
      <w:pPr>
        <w:spacing w:before="100" w:beforeAutospacing="1" w:after="100" w:afterAutospacing="1" w:line="240" w:lineRule="auto"/>
        <w:rPr>
          <w:rFonts w:ascii="Times New Roman" w:eastAsia="Times New Roman" w:hAnsi="Times New Roman" w:cs="Times New Roman"/>
          <w:sz w:val="24"/>
          <w:szCs w:val="24"/>
        </w:rPr>
      </w:pPr>
      <w:r w:rsidRPr="00DB388F">
        <w:rPr>
          <w:rFonts w:ascii="Times New Roman" w:eastAsia="Times New Roman" w:hAnsi="Times New Roman" w:cs="Times New Roman"/>
          <w:sz w:val="24"/>
          <w:szCs w:val="24"/>
        </w:rPr>
        <w:t xml:space="preserve">1). </w:t>
      </w:r>
      <w:proofErr w:type="spellStart"/>
      <w:r w:rsidRPr="00DB388F">
        <w:rPr>
          <w:rFonts w:ascii="Times New Roman" w:eastAsia="Times New Roman" w:hAnsi="Times New Roman" w:cs="Times New Roman"/>
          <w:sz w:val="24"/>
          <w:szCs w:val="24"/>
        </w:rPr>
        <w:t>Hao</w:t>
      </w:r>
      <w:proofErr w:type="spellEnd"/>
      <w:r w:rsidRPr="00DB388F">
        <w:rPr>
          <w:rFonts w:ascii="Times New Roman" w:eastAsia="Times New Roman" w:hAnsi="Times New Roman" w:cs="Times New Roman"/>
          <w:sz w:val="24"/>
          <w:szCs w:val="24"/>
        </w:rPr>
        <w:t xml:space="preserve"> Fan, </w:t>
      </w:r>
      <w:proofErr w:type="spellStart"/>
      <w:r w:rsidRPr="00DB388F">
        <w:rPr>
          <w:rFonts w:ascii="Times New Roman" w:eastAsia="Times New Roman" w:hAnsi="Times New Roman" w:cs="Times New Roman"/>
          <w:sz w:val="24"/>
          <w:szCs w:val="24"/>
        </w:rPr>
        <w:t>Qingli</w:t>
      </w:r>
      <w:proofErr w:type="spellEnd"/>
      <w:r w:rsidRPr="00DB388F">
        <w:rPr>
          <w:rFonts w:ascii="Times New Roman" w:eastAsia="Times New Roman" w:hAnsi="Times New Roman" w:cs="Times New Roman"/>
          <w:sz w:val="24"/>
          <w:szCs w:val="24"/>
        </w:rPr>
        <w:t xml:space="preserve"> Wu, James E. Simon, </w:t>
      </w:r>
      <w:proofErr w:type="spellStart"/>
      <w:r w:rsidRPr="00DB388F">
        <w:rPr>
          <w:rFonts w:ascii="Times New Roman" w:eastAsia="Times New Roman" w:hAnsi="Times New Roman" w:cs="Times New Roman"/>
          <w:sz w:val="24"/>
          <w:szCs w:val="24"/>
        </w:rPr>
        <w:t>Shyi-Neng</w:t>
      </w:r>
      <w:proofErr w:type="spellEnd"/>
      <w:r w:rsidRPr="00DB388F">
        <w:rPr>
          <w:rFonts w:ascii="Times New Roman" w:eastAsia="Times New Roman" w:hAnsi="Times New Roman" w:cs="Times New Roman"/>
          <w:sz w:val="24"/>
          <w:szCs w:val="24"/>
        </w:rPr>
        <w:t xml:space="preserve"> Lou, Chi-Tang Ho (2015) Authenticity analysis of citrus essential oils by HPLC-UV-MS on oxygenated heterocyclic components. </w:t>
      </w:r>
      <w:r w:rsidRPr="00DB388F">
        <w:rPr>
          <w:rFonts w:ascii="Times New Roman" w:eastAsia="Times New Roman" w:hAnsi="Times New Roman" w:cs="Times New Roman"/>
          <w:i/>
          <w:iCs/>
          <w:sz w:val="24"/>
          <w:szCs w:val="24"/>
        </w:rPr>
        <w:t xml:space="preserve">Journal of Food and Drug Analysis Volume 23, Issue 1, Pages 30–39. </w:t>
      </w:r>
      <w:r w:rsidRPr="00DB388F">
        <w:rPr>
          <w:rFonts w:ascii="Times New Roman" w:eastAsia="Times New Roman" w:hAnsi="Times New Roman" w:cs="Times New Roman"/>
          <w:sz w:val="24"/>
          <w:szCs w:val="24"/>
        </w:rPr>
        <w:t xml:space="preserve">DOI: </w:t>
      </w:r>
      <w:hyperlink r:id="rId10" w:history="1">
        <w:r w:rsidRPr="00DB388F">
          <w:rPr>
            <w:rFonts w:ascii="Times New Roman" w:eastAsia="Times New Roman" w:hAnsi="Times New Roman" w:cs="Times New Roman"/>
            <w:color w:val="0000FF"/>
            <w:sz w:val="24"/>
            <w:szCs w:val="24"/>
            <w:u w:val="single"/>
          </w:rPr>
          <w:t>http://dx.doi.org/10.1016/j.jfda.2014.05.008</w:t>
        </w:r>
      </w:hyperlink>
      <w:r w:rsidRPr="00DB388F">
        <w:rPr>
          <w:rFonts w:ascii="Times New Roman" w:eastAsia="Times New Roman" w:hAnsi="Times New Roman" w:cs="Times New Roman"/>
          <w:sz w:val="24"/>
          <w:szCs w:val="24"/>
        </w:rPr>
        <w:t xml:space="preserve"> Retrieved from </w:t>
      </w:r>
      <w:hyperlink r:id="rId11" w:history="1">
        <w:r w:rsidRPr="00DB388F">
          <w:rPr>
            <w:rFonts w:ascii="Times New Roman" w:eastAsia="Times New Roman" w:hAnsi="Times New Roman" w:cs="Times New Roman"/>
            <w:color w:val="0000FF"/>
            <w:sz w:val="24"/>
            <w:szCs w:val="24"/>
            <w:u w:val="single"/>
          </w:rPr>
          <w:t>http://www.jfda-online.com/article/S1021-9498(14)00149-5/fulltext</w:t>
        </w:r>
      </w:hyperlink>
    </w:p>
    <w:p w:rsidR="00DB388F" w:rsidRPr="00DB388F" w:rsidRDefault="00DB388F" w:rsidP="00DB388F">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p>
    <w:p w:rsidR="002321B5" w:rsidRDefault="002321B5"/>
    <w:sectPr w:rsidR="002321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88F"/>
    <w:rsid w:val="002321B5"/>
    <w:rsid w:val="00DB3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00C81"/>
  <w15:chartTrackingRefBased/>
  <w15:docId w15:val="{4F750DA6-5B3B-4F90-8079-AED93F656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B388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88F"/>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DB388F"/>
    <w:rPr>
      <w:color w:val="0000FF"/>
      <w:u w:val="single"/>
    </w:rPr>
  </w:style>
  <w:style w:type="paragraph" w:styleId="NormalWeb">
    <w:name w:val="Normal (Web)"/>
    <w:basedOn w:val="Normal"/>
    <w:uiPriority w:val="99"/>
    <w:semiHidden/>
    <w:unhideWhenUsed/>
    <w:rsid w:val="00DB388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266982">
      <w:bodyDiv w:val="1"/>
      <w:marLeft w:val="0"/>
      <w:marRight w:val="0"/>
      <w:marTop w:val="0"/>
      <w:marBottom w:val="0"/>
      <w:divBdr>
        <w:top w:val="none" w:sz="0" w:space="0" w:color="auto"/>
        <w:left w:val="none" w:sz="0" w:space="0" w:color="auto"/>
        <w:bottom w:val="none" w:sz="0" w:space="0" w:color="auto"/>
        <w:right w:val="none" w:sz="0" w:space="0" w:color="auto"/>
      </w:divBdr>
      <w:divsChild>
        <w:div w:id="1117413606">
          <w:marLeft w:val="0"/>
          <w:marRight w:val="0"/>
          <w:marTop w:val="0"/>
          <w:marBottom w:val="0"/>
          <w:divBdr>
            <w:top w:val="none" w:sz="0" w:space="0" w:color="auto"/>
            <w:left w:val="none" w:sz="0" w:space="0" w:color="auto"/>
            <w:bottom w:val="none" w:sz="0" w:space="0" w:color="auto"/>
            <w:right w:val="none" w:sz="0" w:space="0" w:color="auto"/>
          </w:divBdr>
        </w:div>
        <w:div w:id="438985722">
          <w:marLeft w:val="0"/>
          <w:marRight w:val="0"/>
          <w:marTop w:val="0"/>
          <w:marBottom w:val="0"/>
          <w:divBdr>
            <w:top w:val="none" w:sz="0" w:space="0" w:color="auto"/>
            <w:left w:val="none" w:sz="0" w:space="0" w:color="auto"/>
            <w:bottom w:val="none" w:sz="0" w:space="0" w:color="auto"/>
            <w:right w:val="none" w:sz="0" w:space="0" w:color="auto"/>
          </w:divBdr>
          <w:divsChild>
            <w:div w:id="9876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270492">
      <w:bodyDiv w:val="1"/>
      <w:marLeft w:val="0"/>
      <w:marRight w:val="0"/>
      <w:marTop w:val="0"/>
      <w:marBottom w:val="0"/>
      <w:divBdr>
        <w:top w:val="none" w:sz="0" w:space="0" w:color="auto"/>
        <w:left w:val="none" w:sz="0" w:space="0" w:color="auto"/>
        <w:bottom w:val="none" w:sz="0" w:space="0" w:color="auto"/>
        <w:right w:val="none" w:sz="0" w:space="0" w:color="auto"/>
      </w:divBdr>
      <w:divsChild>
        <w:div w:id="64501302">
          <w:marLeft w:val="0"/>
          <w:marRight w:val="0"/>
          <w:marTop w:val="0"/>
          <w:marBottom w:val="0"/>
          <w:divBdr>
            <w:top w:val="none" w:sz="0" w:space="0" w:color="auto"/>
            <w:left w:val="none" w:sz="0" w:space="0" w:color="auto"/>
            <w:bottom w:val="none" w:sz="0" w:space="0" w:color="auto"/>
            <w:right w:val="none" w:sz="0" w:space="0" w:color="auto"/>
          </w:divBdr>
        </w:div>
        <w:div w:id="1520776477">
          <w:marLeft w:val="0"/>
          <w:marRight w:val="0"/>
          <w:marTop w:val="0"/>
          <w:marBottom w:val="0"/>
          <w:divBdr>
            <w:top w:val="none" w:sz="0" w:space="0" w:color="auto"/>
            <w:left w:val="none" w:sz="0" w:space="0" w:color="auto"/>
            <w:bottom w:val="none" w:sz="0" w:space="0" w:color="auto"/>
            <w:right w:val="none" w:sz="0" w:space="0" w:color="auto"/>
          </w:divBdr>
          <w:divsChild>
            <w:div w:id="127567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davinawellness.com/wp-content/uploads/2016/09/adulterated-essential-oils-270x250.jp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avinawellness.com/essential-oil-adulteration-part-1/" TargetMode="External"/><Relationship Id="rId11" Type="http://schemas.openxmlformats.org/officeDocument/2006/relationships/hyperlink" Target="http://www.jfda-online.com/article/S1021-9498%2814%2900149-5/fulltext" TargetMode="External"/><Relationship Id="rId5" Type="http://schemas.openxmlformats.org/officeDocument/2006/relationships/image" Target="media/image1.jpeg"/><Relationship Id="rId10" Type="http://schemas.openxmlformats.org/officeDocument/2006/relationships/hyperlink" Target="http://dx.doi.org/10.1016/j.jfda.2014.05.008" TargetMode="External"/><Relationship Id="rId4" Type="http://schemas.openxmlformats.org/officeDocument/2006/relationships/hyperlink" Target="http://davinawellness.com/wp-content/uploads/2016/08/scienceus-196x300.jpg" TargetMode="External"/><Relationship Id="rId9" Type="http://schemas.openxmlformats.org/officeDocument/2006/relationships/hyperlink" Target="http://davinawellness.com/essential-oil-adulteration-part-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809</Words>
  <Characters>4617</Characters>
  <Application>Microsoft Office Word</Application>
  <DocSecurity>0</DocSecurity>
  <Lines>38</Lines>
  <Paragraphs>10</Paragraphs>
  <ScaleCrop>false</ScaleCrop>
  <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1</cp:revision>
  <dcterms:created xsi:type="dcterms:W3CDTF">2017-03-13T03:22:00Z</dcterms:created>
  <dcterms:modified xsi:type="dcterms:W3CDTF">2017-03-13T03:24:00Z</dcterms:modified>
</cp:coreProperties>
</file>