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6B" w:rsidRPr="00FC716B" w:rsidRDefault="00FC716B" w:rsidP="00FC716B">
      <w:pPr>
        <w:spacing w:before="100" w:beforeAutospacing="1" w:after="100" w:afterAutospacing="1" w:line="240" w:lineRule="auto"/>
        <w:jc w:val="center"/>
        <w:rPr>
          <w:rFonts w:ascii="Times New Roman" w:eastAsia="Times New Roman" w:hAnsi="Times New Roman" w:cs="Times New Roman"/>
          <w:b/>
          <w:bCs/>
          <w:iCs/>
          <w:sz w:val="36"/>
          <w:szCs w:val="36"/>
          <w:u w:val="single"/>
          <w:lang/>
        </w:rPr>
      </w:pPr>
      <w:r w:rsidRPr="00FC716B">
        <w:rPr>
          <w:rFonts w:ascii="Times New Roman" w:eastAsia="Times New Roman" w:hAnsi="Times New Roman" w:cs="Times New Roman"/>
          <w:b/>
          <w:bCs/>
          <w:iCs/>
          <w:sz w:val="36"/>
          <w:szCs w:val="36"/>
          <w:u w:val="single"/>
          <w:lang/>
        </w:rPr>
        <w:t>The Law That Never Was:</w:t>
      </w:r>
    </w:p>
    <w:p w:rsidR="00FC716B" w:rsidRPr="00FC716B" w:rsidRDefault="00FC716B" w:rsidP="00FC716B">
      <w:pPr>
        <w:spacing w:before="100" w:beforeAutospacing="1" w:after="100" w:afterAutospacing="1" w:line="240" w:lineRule="auto"/>
        <w:jc w:val="center"/>
        <w:rPr>
          <w:rFonts w:ascii="Times New Roman" w:eastAsia="Times New Roman" w:hAnsi="Times New Roman" w:cs="Times New Roman"/>
          <w:sz w:val="24"/>
          <w:szCs w:val="24"/>
          <w:lang/>
        </w:rPr>
      </w:pPr>
      <w:r w:rsidRPr="00FC716B">
        <w:rPr>
          <w:rFonts w:ascii="Times New Roman" w:eastAsia="Times New Roman" w:hAnsi="Times New Roman" w:cs="Times New Roman"/>
          <w:b/>
          <w:bCs/>
          <w:iCs/>
          <w:sz w:val="24"/>
          <w:szCs w:val="24"/>
          <w:lang/>
        </w:rPr>
        <w:t>The Fraud of the 16th Amendment and Personal Income Tax</w:t>
      </w:r>
      <w:r w:rsidRPr="00FC716B">
        <w:rPr>
          <w:rFonts w:ascii="Times New Roman" w:eastAsia="Times New Roman" w:hAnsi="Times New Roman" w:cs="Times New Roman"/>
          <w:sz w:val="24"/>
          <w:szCs w:val="24"/>
          <w:lang/>
        </w:rPr>
        <w:t xml:space="preserve"> is a 1985 book by William J. Benson and Martin J. "Red" Beckman</w:t>
      </w:r>
    </w:p>
    <w:p w:rsidR="00FC716B" w:rsidRDefault="00434C77" w:rsidP="00FC716B">
      <w:pPr>
        <w:spacing w:before="100" w:beforeAutospacing="1" w:after="100" w:afterAutospacing="1" w:line="240" w:lineRule="auto"/>
        <w:jc w:val="center"/>
        <w:rPr>
          <w:rFonts w:ascii="Times New Roman" w:eastAsia="Times New Roman" w:hAnsi="Times New Roman" w:cs="Times New Roman"/>
          <w:sz w:val="24"/>
          <w:szCs w:val="24"/>
          <w:lang/>
        </w:rPr>
      </w:pPr>
      <w:hyperlink r:id="rId5" w:history="1">
        <w:r w:rsidR="00FC716B" w:rsidRPr="009D111D">
          <w:rPr>
            <w:rStyle w:val="Hyperlink"/>
            <w:rFonts w:ascii="Times New Roman" w:eastAsia="Times New Roman" w:hAnsi="Times New Roman" w:cs="Times New Roman"/>
            <w:sz w:val="24"/>
            <w:szCs w:val="24"/>
            <w:lang/>
          </w:rPr>
          <w:t>http://en.wikipedia.org/wiki/The_Law_that_Never_Was</w:t>
        </w:r>
      </w:hyperlink>
    </w:p>
    <w:p w:rsidR="00FC716B" w:rsidRDefault="00FC716B" w:rsidP="00FC716B">
      <w:pPr>
        <w:spacing w:before="100" w:beforeAutospacing="1" w:after="100" w:afterAutospacing="1" w:line="240" w:lineRule="auto"/>
        <w:jc w:val="center"/>
        <w:rPr>
          <w:rFonts w:ascii="Times New Roman" w:eastAsia="Times New Roman" w:hAnsi="Times New Roman" w:cs="Times New Roman"/>
          <w:sz w:val="24"/>
          <w:szCs w:val="24"/>
          <w:lang/>
        </w:rPr>
      </w:pPr>
    </w:p>
    <w:p w:rsidR="00160BEB" w:rsidRDefault="00160BEB" w:rsidP="00160BEB">
      <w:pPr>
        <w:pStyle w:val="Heading1"/>
        <w:rPr>
          <w:lang/>
        </w:rPr>
      </w:pPr>
      <w:r>
        <w:rPr>
          <w:i/>
          <w:iCs/>
          <w:lang/>
        </w:rPr>
        <w:t>The Law that Never Was</w:t>
      </w:r>
    </w:p>
    <w:p w:rsidR="00160BEB" w:rsidRDefault="00160BEB" w:rsidP="00160BEB">
      <w:r>
        <w:t>From Wikipedia, the free encyclopedia</w:t>
      </w:r>
    </w:p>
    <w:tbl>
      <w:tblPr>
        <w:tblW w:w="5280" w:type="dxa"/>
        <w:tblCellSpacing w:w="15"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5280"/>
      </w:tblGrid>
      <w:tr w:rsidR="00160BEB" w:rsidTr="00160BEB">
        <w:trPr>
          <w:tblCellSpacing w:w="15" w:type="dxa"/>
        </w:trPr>
        <w:tc>
          <w:tcPr>
            <w:tcW w:w="0" w:type="auto"/>
            <w:shd w:val="clear" w:color="auto" w:fill="F9F9F9"/>
            <w:tcMar>
              <w:top w:w="96" w:type="dxa"/>
              <w:left w:w="48" w:type="dxa"/>
              <w:bottom w:w="48" w:type="dxa"/>
              <w:right w:w="48" w:type="dxa"/>
            </w:tcMar>
            <w:vAlign w:val="center"/>
            <w:hideMark/>
          </w:tcPr>
          <w:p w:rsidR="00160BEB" w:rsidRDefault="00160BEB">
            <w:pPr>
              <w:spacing w:after="240" w:line="288" w:lineRule="atLeast"/>
              <w:jc w:val="center"/>
              <w:rPr>
                <w:sz w:val="21"/>
                <w:szCs w:val="21"/>
              </w:rPr>
            </w:pPr>
            <w:r>
              <w:rPr>
                <w:sz w:val="21"/>
                <w:szCs w:val="21"/>
              </w:rPr>
              <w:t xml:space="preserve">Part of the </w:t>
            </w:r>
            <w:hyperlink r:id="rId6" w:tooltip="Taxation in the United States" w:history="1">
              <w:r>
                <w:rPr>
                  <w:rStyle w:val="Hyperlink"/>
                  <w:sz w:val="21"/>
                  <w:szCs w:val="21"/>
                </w:rPr>
                <w:t>Taxation in</w:t>
              </w:r>
              <w:r>
                <w:rPr>
                  <w:color w:val="0000FF"/>
                  <w:sz w:val="21"/>
                  <w:szCs w:val="21"/>
                  <w:u w:val="single"/>
                </w:rPr>
                <w:br/>
              </w:r>
              <w:r>
                <w:rPr>
                  <w:rStyle w:val="Hyperlink"/>
                  <w:sz w:val="21"/>
                  <w:szCs w:val="21"/>
                </w:rPr>
                <w:t>the United States</w:t>
              </w:r>
            </w:hyperlink>
            <w:r>
              <w:rPr>
                <w:sz w:val="21"/>
                <w:szCs w:val="21"/>
              </w:rPr>
              <w:t xml:space="preserve"> series</w:t>
            </w:r>
          </w:p>
        </w:tc>
      </w:tr>
      <w:tr w:rsidR="00160BEB" w:rsidTr="00160BEB">
        <w:trPr>
          <w:tblCellSpacing w:w="15" w:type="dxa"/>
        </w:trPr>
        <w:tc>
          <w:tcPr>
            <w:tcW w:w="0" w:type="auto"/>
            <w:tcBorders>
              <w:top w:val="nil"/>
              <w:left w:val="nil"/>
              <w:bottom w:val="nil"/>
              <w:right w:val="nil"/>
            </w:tcBorders>
            <w:shd w:val="clear" w:color="auto" w:fill="F9F9F9"/>
            <w:tcMar>
              <w:top w:w="0" w:type="dxa"/>
              <w:left w:w="96" w:type="dxa"/>
              <w:bottom w:w="48" w:type="dxa"/>
              <w:right w:w="96" w:type="dxa"/>
            </w:tcMar>
            <w:vAlign w:val="center"/>
            <w:hideMark/>
          </w:tcPr>
          <w:p w:rsidR="00160BEB" w:rsidRDefault="00160BEB">
            <w:pPr>
              <w:spacing w:after="240" w:line="288" w:lineRule="atLeast"/>
              <w:jc w:val="center"/>
              <w:rPr>
                <w:b/>
                <w:bCs/>
                <w:sz w:val="30"/>
                <w:szCs w:val="30"/>
              </w:rPr>
            </w:pPr>
            <w:hyperlink r:id="rId7" w:tooltip="Tax protester" w:history="1">
              <w:r>
                <w:rPr>
                  <w:rStyle w:val="Hyperlink"/>
                  <w:b/>
                  <w:bCs/>
                  <w:sz w:val="30"/>
                  <w:szCs w:val="30"/>
                </w:rPr>
                <w:t>Tax protest</w:t>
              </w:r>
              <w:r>
                <w:rPr>
                  <w:b/>
                  <w:bCs/>
                  <w:color w:val="0000FF"/>
                  <w:sz w:val="30"/>
                  <w:szCs w:val="30"/>
                  <w:u w:val="single"/>
                </w:rPr>
                <w:br/>
              </w:r>
              <w:r>
                <w:rPr>
                  <w:rStyle w:val="Hyperlink"/>
                  <w:b/>
                  <w:bCs/>
                  <w:sz w:val="30"/>
                  <w:szCs w:val="30"/>
                </w:rPr>
                <w:t>in the United States</w:t>
              </w:r>
            </w:hyperlink>
          </w:p>
        </w:tc>
      </w:tr>
      <w:tr w:rsidR="00160BEB" w:rsidTr="00160BEB">
        <w:trPr>
          <w:tblCellSpacing w:w="15" w:type="dxa"/>
        </w:trPr>
        <w:tc>
          <w:tcPr>
            <w:tcW w:w="0" w:type="auto"/>
            <w:shd w:val="clear" w:color="auto" w:fill="F9F9F9"/>
            <w:tcMar>
              <w:top w:w="48" w:type="dxa"/>
              <w:left w:w="0" w:type="dxa"/>
              <w:bottom w:w="240" w:type="dxa"/>
              <w:right w:w="0" w:type="dxa"/>
            </w:tcMar>
            <w:vAlign w:val="center"/>
            <w:hideMark/>
          </w:tcPr>
          <w:p w:rsidR="00160BEB" w:rsidRDefault="00160BEB">
            <w:pPr>
              <w:spacing w:after="240" w:line="336" w:lineRule="atLeast"/>
              <w:jc w:val="center"/>
              <w:rPr>
                <w:sz w:val="21"/>
                <w:szCs w:val="21"/>
              </w:rPr>
            </w:pPr>
            <w:r>
              <w:rPr>
                <w:noProof/>
                <w:color w:val="0000FF"/>
                <w:sz w:val="21"/>
                <w:szCs w:val="21"/>
              </w:rPr>
              <w:drawing>
                <wp:inline distT="0" distB="0" distL="0" distR="0">
                  <wp:extent cx="949325" cy="949325"/>
                  <wp:effectExtent l="19050" t="0" r="3175" b="0"/>
                  <wp:docPr id="6" name="Picture 1" descr="Anti-IRS symbol">
                    <a:hlinkClick xmlns:a="http://schemas.openxmlformats.org/drawingml/2006/main" r:id="rId8" tooltip="&quot;Anti-IRS symb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IRS symbol">
                            <a:hlinkClick r:id="rId8" tooltip="&quot;Anti-IRS symbol&quot;"/>
                          </pic:cNvPr>
                          <pic:cNvPicPr>
                            <a:picLocks noChangeAspect="1" noChangeArrowheads="1"/>
                          </pic:cNvPicPr>
                        </pic:nvPicPr>
                        <pic:blipFill>
                          <a:blip r:embed="rId9" cstate="print"/>
                          <a:srcRect/>
                          <a:stretch>
                            <a:fillRect/>
                          </a:stretch>
                        </pic:blipFill>
                        <pic:spPr bwMode="auto">
                          <a:xfrm>
                            <a:off x="0" y="0"/>
                            <a:ext cx="949325" cy="949325"/>
                          </a:xfrm>
                          <a:prstGeom prst="rect">
                            <a:avLst/>
                          </a:prstGeom>
                          <a:noFill/>
                          <a:ln w="9525">
                            <a:noFill/>
                            <a:miter lim="800000"/>
                            <a:headEnd/>
                            <a:tailEnd/>
                          </a:ln>
                        </pic:spPr>
                      </pic:pic>
                    </a:graphicData>
                  </a:graphic>
                </wp:inline>
              </w:drawing>
            </w:r>
          </w:p>
        </w:tc>
      </w:tr>
      <w:tr w:rsidR="00160BEB" w:rsidTr="00160BEB">
        <w:trPr>
          <w:tblCellSpacing w:w="15" w:type="dxa"/>
        </w:trPr>
        <w:tc>
          <w:tcPr>
            <w:tcW w:w="0" w:type="auto"/>
            <w:tcBorders>
              <w:top w:val="single" w:sz="4" w:space="0" w:color="AAAAAA"/>
            </w:tcBorders>
            <w:shd w:val="clear" w:color="auto" w:fill="F9F9F9"/>
            <w:tcMar>
              <w:top w:w="24" w:type="dxa"/>
              <w:left w:w="24" w:type="dxa"/>
              <w:bottom w:w="24" w:type="dxa"/>
              <w:right w:w="24" w:type="dxa"/>
            </w:tcMar>
            <w:vAlign w:val="center"/>
            <w:hideMark/>
          </w:tcPr>
          <w:p w:rsidR="00160BEB" w:rsidRDefault="00160BEB">
            <w:pPr>
              <w:spacing w:after="240" w:line="336" w:lineRule="atLeast"/>
              <w:jc w:val="center"/>
              <w:rPr>
                <w:b/>
                <w:bCs/>
                <w:sz w:val="21"/>
                <w:szCs w:val="21"/>
              </w:rPr>
            </w:pPr>
            <w:hyperlink r:id="rId10" w:tooltip="Tax protester history in the United States" w:history="1">
              <w:r>
                <w:rPr>
                  <w:rStyle w:val="Hyperlink"/>
                  <w:b/>
                  <w:bCs/>
                  <w:sz w:val="21"/>
                  <w:szCs w:val="21"/>
                </w:rPr>
                <w:t>History</w:t>
              </w:r>
            </w:hyperlink>
          </w:p>
        </w:tc>
      </w:tr>
      <w:tr w:rsidR="00160BEB" w:rsidTr="00160BEB">
        <w:trPr>
          <w:tblCellSpacing w:w="15" w:type="dxa"/>
        </w:trPr>
        <w:tc>
          <w:tcPr>
            <w:tcW w:w="0" w:type="auto"/>
            <w:tcBorders>
              <w:top w:val="single" w:sz="4" w:space="0" w:color="AAAAAA"/>
            </w:tcBorders>
            <w:shd w:val="clear" w:color="auto" w:fill="F9F9F9"/>
            <w:tcMar>
              <w:top w:w="24" w:type="dxa"/>
              <w:left w:w="24" w:type="dxa"/>
              <w:bottom w:w="24" w:type="dxa"/>
              <w:right w:w="24" w:type="dxa"/>
            </w:tcMar>
            <w:vAlign w:val="center"/>
            <w:hideMark/>
          </w:tcPr>
          <w:p w:rsidR="00160BEB" w:rsidRDefault="00160BEB">
            <w:pPr>
              <w:spacing w:after="240" w:line="336" w:lineRule="atLeast"/>
              <w:jc w:val="center"/>
              <w:rPr>
                <w:b/>
                <w:bCs/>
                <w:sz w:val="21"/>
                <w:szCs w:val="21"/>
              </w:rPr>
            </w:pPr>
            <w:hyperlink r:id="rId11" w:tooltip="Tax protester arguments" w:history="1">
              <w:r>
                <w:rPr>
                  <w:rStyle w:val="Hyperlink"/>
                  <w:b/>
                  <w:bCs/>
                  <w:sz w:val="21"/>
                  <w:szCs w:val="21"/>
                </w:rPr>
                <w:t>Arguments</w:t>
              </w:r>
            </w:hyperlink>
          </w:p>
        </w:tc>
      </w:tr>
      <w:tr w:rsidR="00160BEB" w:rsidTr="00160BEB">
        <w:trPr>
          <w:tblCellSpacing w:w="15" w:type="dxa"/>
        </w:trPr>
        <w:tc>
          <w:tcPr>
            <w:tcW w:w="0" w:type="auto"/>
            <w:shd w:val="clear" w:color="auto" w:fill="F9F9F9"/>
            <w:tcMar>
              <w:top w:w="0" w:type="dxa"/>
              <w:left w:w="24" w:type="dxa"/>
              <w:bottom w:w="96" w:type="dxa"/>
              <w:right w:w="24" w:type="dxa"/>
            </w:tcMar>
            <w:vAlign w:val="center"/>
            <w:hideMark/>
          </w:tcPr>
          <w:p w:rsidR="00160BEB" w:rsidRDefault="00160BEB">
            <w:pPr>
              <w:spacing w:after="240" w:line="336" w:lineRule="atLeast"/>
              <w:jc w:val="center"/>
              <w:rPr>
                <w:sz w:val="21"/>
                <w:szCs w:val="21"/>
              </w:rPr>
            </w:pPr>
            <w:hyperlink r:id="rId12" w:tooltip="Tax protester constitutional arguments" w:history="1">
              <w:r>
                <w:rPr>
                  <w:rStyle w:val="Hyperlink"/>
                  <w:sz w:val="21"/>
                  <w:szCs w:val="21"/>
                </w:rPr>
                <w:t>Constitutional</w:t>
              </w:r>
            </w:hyperlink>
            <w:r>
              <w:rPr>
                <w:sz w:val="21"/>
                <w:szCs w:val="21"/>
              </w:rPr>
              <w:t> </w:t>
            </w:r>
            <w:r>
              <w:rPr>
                <w:b/>
                <w:bCs/>
                <w:sz w:val="21"/>
                <w:szCs w:val="21"/>
              </w:rPr>
              <w:t>·</w:t>
            </w:r>
            <w:r>
              <w:rPr>
                <w:sz w:val="21"/>
                <w:szCs w:val="21"/>
              </w:rPr>
              <w:t xml:space="preserve"> </w:t>
            </w:r>
            <w:hyperlink r:id="rId13" w:tooltip="Tax protester Sixteenth Amendment arguments" w:history="1">
              <w:r>
                <w:rPr>
                  <w:rStyle w:val="Hyperlink"/>
                  <w:sz w:val="21"/>
                  <w:szCs w:val="21"/>
                </w:rPr>
                <w:t>16th Amendment</w:t>
              </w:r>
            </w:hyperlink>
            <w:r>
              <w:rPr>
                <w:sz w:val="21"/>
                <w:szCs w:val="21"/>
              </w:rPr>
              <w:br/>
            </w:r>
            <w:hyperlink r:id="rId14" w:tooltip="Tax protester statutory arguments" w:history="1">
              <w:r>
                <w:rPr>
                  <w:rStyle w:val="Hyperlink"/>
                  <w:sz w:val="21"/>
                  <w:szCs w:val="21"/>
                </w:rPr>
                <w:t>Statutory</w:t>
              </w:r>
            </w:hyperlink>
            <w:r>
              <w:rPr>
                <w:sz w:val="21"/>
                <w:szCs w:val="21"/>
              </w:rPr>
              <w:t> </w:t>
            </w:r>
            <w:r>
              <w:rPr>
                <w:b/>
                <w:bCs/>
                <w:sz w:val="21"/>
                <w:szCs w:val="21"/>
              </w:rPr>
              <w:t>·</w:t>
            </w:r>
            <w:r>
              <w:rPr>
                <w:sz w:val="21"/>
                <w:szCs w:val="21"/>
              </w:rPr>
              <w:t xml:space="preserve"> </w:t>
            </w:r>
            <w:hyperlink r:id="rId15" w:tooltip="Tax protester administrative arguments" w:history="1">
              <w:r>
                <w:rPr>
                  <w:rStyle w:val="Hyperlink"/>
                  <w:sz w:val="21"/>
                  <w:szCs w:val="21"/>
                </w:rPr>
                <w:t>Administrative</w:t>
              </w:r>
            </w:hyperlink>
            <w:r>
              <w:rPr>
                <w:sz w:val="21"/>
                <w:szCs w:val="21"/>
              </w:rPr>
              <w:t> </w:t>
            </w:r>
            <w:r>
              <w:rPr>
                <w:b/>
                <w:bCs/>
                <w:sz w:val="21"/>
                <w:szCs w:val="21"/>
              </w:rPr>
              <w:t>·</w:t>
            </w:r>
            <w:r>
              <w:rPr>
                <w:sz w:val="21"/>
                <w:szCs w:val="21"/>
              </w:rPr>
              <w:t xml:space="preserve"> </w:t>
            </w:r>
            <w:hyperlink r:id="rId16" w:tooltip="Tax protester conspiracy arguments" w:history="1">
              <w:r>
                <w:rPr>
                  <w:rStyle w:val="Hyperlink"/>
                  <w:sz w:val="21"/>
                  <w:szCs w:val="21"/>
                </w:rPr>
                <w:t>Conspiracy</w:t>
              </w:r>
            </w:hyperlink>
          </w:p>
        </w:tc>
      </w:tr>
      <w:tr w:rsidR="00160BEB" w:rsidTr="00160BEB">
        <w:trPr>
          <w:tblCellSpacing w:w="15" w:type="dxa"/>
        </w:trPr>
        <w:tc>
          <w:tcPr>
            <w:tcW w:w="0" w:type="auto"/>
            <w:tcBorders>
              <w:top w:val="single" w:sz="4" w:space="0" w:color="AAAAAA"/>
            </w:tcBorders>
            <w:shd w:val="clear" w:color="auto" w:fill="F9F9F9"/>
            <w:tcMar>
              <w:top w:w="24" w:type="dxa"/>
              <w:left w:w="24" w:type="dxa"/>
              <w:bottom w:w="24" w:type="dxa"/>
              <w:right w:w="24" w:type="dxa"/>
            </w:tcMar>
            <w:vAlign w:val="center"/>
            <w:hideMark/>
          </w:tcPr>
          <w:p w:rsidR="00160BEB" w:rsidRDefault="00160BEB">
            <w:pPr>
              <w:spacing w:after="240" w:line="336" w:lineRule="atLeast"/>
              <w:jc w:val="center"/>
              <w:rPr>
                <w:b/>
                <w:bCs/>
                <w:sz w:val="21"/>
                <w:szCs w:val="21"/>
              </w:rPr>
            </w:pPr>
            <w:r>
              <w:rPr>
                <w:b/>
                <w:bCs/>
                <w:sz w:val="21"/>
                <w:szCs w:val="21"/>
              </w:rPr>
              <w:t>People</w:t>
            </w:r>
          </w:p>
        </w:tc>
      </w:tr>
      <w:tr w:rsidR="00160BEB" w:rsidTr="00160BEB">
        <w:trPr>
          <w:tblCellSpacing w:w="15" w:type="dxa"/>
        </w:trPr>
        <w:tc>
          <w:tcPr>
            <w:tcW w:w="0" w:type="auto"/>
            <w:shd w:val="clear" w:color="auto" w:fill="F9F9F9"/>
            <w:tcMar>
              <w:top w:w="0" w:type="dxa"/>
              <w:left w:w="24" w:type="dxa"/>
              <w:bottom w:w="96" w:type="dxa"/>
              <w:right w:w="24" w:type="dxa"/>
            </w:tcMar>
            <w:vAlign w:val="center"/>
            <w:hideMark/>
          </w:tcPr>
          <w:p w:rsidR="00160BEB" w:rsidRDefault="00160BEB">
            <w:pPr>
              <w:spacing w:after="240" w:line="336" w:lineRule="atLeast"/>
              <w:jc w:val="center"/>
              <w:rPr>
                <w:sz w:val="21"/>
                <w:szCs w:val="21"/>
              </w:rPr>
            </w:pPr>
            <w:hyperlink r:id="rId17" w:tooltip="Arthur Porth" w:history="1">
              <w:r>
                <w:rPr>
                  <w:rStyle w:val="Hyperlink"/>
                  <w:sz w:val="21"/>
                  <w:szCs w:val="21"/>
                </w:rPr>
                <w:t xml:space="preserve">Arthur </w:t>
              </w:r>
              <w:proofErr w:type="spellStart"/>
              <w:r>
                <w:rPr>
                  <w:rStyle w:val="Hyperlink"/>
                  <w:sz w:val="21"/>
                  <w:szCs w:val="21"/>
                </w:rPr>
                <w:t>Porth</w:t>
              </w:r>
              <w:proofErr w:type="spellEnd"/>
            </w:hyperlink>
            <w:r>
              <w:rPr>
                <w:sz w:val="21"/>
                <w:szCs w:val="21"/>
              </w:rPr>
              <w:br/>
            </w:r>
            <w:hyperlink r:id="rId18" w:tooltip="Robert Clarkson" w:history="1">
              <w:r>
                <w:rPr>
                  <w:rStyle w:val="Hyperlink"/>
                  <w:sz w:val="21"/>
                  <w:szCs w:val="21"/>
                </w:rPr>
                <w:t>Robert Clarkson</w:t>
              </w:r>
            </w:hyperlink>
            <w:r>
              <w:rPr>
                <w:sz w:val="21"/>
                <w:szCs w:val="21"/>
              </w:rPr>
              <w:t> </w:t>
            </w:r>
            <w:r>
              <w:rPr>
                <w:b/>
                <w:bCs/>
                <w:sz w:val="21"/>
                <w:szCs w:val="21"/>
              </w:rPr>
              <w:t>·</w:t>
            </w:r>
            <w:r>
              <w:rPr>
                <w:sz w:val="21"/>
                <w:szCs w:val="21"/>
              </w:rPr>
              <w:t xml:space="preserve"> </w:t>
            </w:r>
            <w:hyperlink r:id="rId19" w:tooltip="Vivien Kellems" w:history="1">
              <w:r>
                <w:rPr>
                  <w:rStyle w:val="Hyperlink"/>
                  <w:sz w:val="21"/>
                  <w:szCs w:val="21"/>
                </w:rPr>
                <w:t xml:space="preserve">Vivien </w:t>
              </w:r>
              <w:proofErr w:type="spellStart"/>
              <w:r>
                <w:rPr>
                  <w:rStyle w:val="Hyperlink"/>
                  <w:sz w:val="21"/>
                  <w:szCs w:val="21"/>
                </w:rPr>
                <w:t>Kellems</w:t>
              </w:r>
              <w:proofErr w:type="spellEnd"/>
            </w:hyperlink>
            <w:r>
              <w:rPr>
                <w:sz w:val="21"/>
                <w:szCs w:val="21"/>
              </w:rPr>
              <w:br/>
            </w:r>
            <w:hyperlink r:id="rId20" w:tooltip="Irwin Schiff" w:history="1">
              <w:r>
                <w:rPr>
                  <w:rStyle w:val="Hyperlink"/>
                  <w:sz w:val="21"/>
                  <w:szCs w:val="21"/>
                </w:rPr>
                <w:t>Irwin Schiff</w:t>
              </w:r>
            </w:hyperlink>
            <w:r>
              <w:rPr>
                <w:sz w:val="21"/>
                <w:szCs w:val="21"/>
              </w:rPr>
              <w:t> </w:t>
            </w:r>
            <w:r>
              <w:rPr>
                <w:b/>
                <w:bCs/>
                <w:sz w:val="21"/>
                <w:szCs w:val="21"/>
              </w:rPr>
              <w:t>·</w:t>
            </w:r>
            <w:r>
              <w:rPr>
                <w:sz w:val="21"/>
                <w:szCs w:val="21"/>
              </w:rPr>
              <w:t xml:space="preserve"> </w:t>
            </w:r>
            <w:r>
              <w:rPr>
                <w:rStyle w:val="Strong"/>
                <w:sz w:val="21"/>
                <w:szCs w:val="21"/>
              </w:rPr>
              <w:t>William J. Benson</w:t>
            </w:r>
            <w:r>
              <w:rPr>
                <w:sz w:val="21"/>
                <w:szCs w:val="21"/>
              </w:rPr>
              <w:br/>
            </w:r>
            <w:hyperlink r:id="rId21" w:tooltip="Wayne Bentson" w:history="1">
              <w:r>
                <w:rPr>
                  <w:rStyle w:val="Hyperlink"/>
                  <w:sz w:val="21"/>
                  <w:szCs w:val="21"/>
                </w:rPr>
                <w:t xml:space="preserve">Wayne C. </w:t>
              </w:r>
              <w:proofErr w:type="spellStart"/>
              <w:r>
                <w:rPr>
                  <w:rStyle w:val="Hyperlink"/>
                  <w:sz w:val="21"/>
                  <w:szCs w:val="21"/>
                </w:rPr>
                <w:t>Bentson</w:t>
              </w:r>
              <w:proofErr w:type="spellEnd"/>
            </w:hyperlink>
            <w:r>
              <w:rPr>
                <w:sz w:val="21"/>
                <w:szCs w:val="21"/>
              </w:rPr>
              <w:t> </w:t>
            </w:r>
            <w:r>
              <w:rPr>
                <w:b/>
                <w:bCs/>
                <w:sz w:val="21"/>
                <w:szCs w:val="21"/>
              </w:rPr>
              <w:t>·</w:t>
            </w:r>
            <w:r>
              <w:rPr>
                <w:sz w:val="21"/>
                <w:szCs w:val="21"/>
              </w:rPr>
              <w:t xml:space="preserve"> </w:t>
            </w:r>
            <w:hyperlink r:id="rId22" w:tooltip="Tom Cryer" w:history="1">
              <w:r>
                <w:rPr>
                  <w:rStyle w:val="Hyperlink"/>
                  <w:sz w:val="21"/>
                  <w:szCs w:val="21"/>
                </w:rPr>
                <w:t xml:space="preserve">Tom </w:t>
              </w:r>
              <w:proofErr w:type="spellStart"/>
              <w:r>
                <w:rPr>
                  <w:rStyle w:val="Hyperlink"/>
                  <w:sz w:val="21"/>
                  <w:szCs w:val="21"/>
                </w:rPr>
                <w:t>Cryer</w:t>
              </w:r>
              <w:proofErr w:type="spellEnd"/>
            </w:hyperlink>
            <w:r>
              <w:rPr>
                <w:sz w:val="21"/>
                <w:szCs w:val="21"/>
              </w:rPr>
              <w:br/>
            </w:r>
            <w:hyperlink r:id="rId23" w:tooltip="Richard Michael Simkanin" w:history="1">
              <w:r>
                <w:rPr>
                  <w:rStyle w:val="Hyperlink"/>
                  <w:sz w:val="21"/>
                  <w:szCs w:val="21"/>
                </w:rPr>
                <w:t xml:space="preserve">Richard Michael </w:t>
              </w:r>
              <w:proofErr w:type="spellStart"/>
              <w:r>
                <w:rPr>
                  <w:rStyle w:val="Hyperlink"/>
                  <w:sz w:val="21"/>
                  <w:szCs w:val="21"/>
                </w:rPr>
                <w:t>Simkanin</w:t>
              </w:r>
              <w:proofErr w:type="spellEnd"/>
            </w:hyperlink>
            <w:r>
              <w:rPr>
                <w:sz w:val="21"/>
                <w:szCs w:val="21"/>
              </w:rPr>
              <w:t> </w:t>
            </w:r>
            <w:r>
              <w:rPr>
                <w:b/>
                <w:bCs/>
                <w:sz w:val="21"/>
                <w:szCs w:val="21"/>
              </w:rPr>
              <w:t>·</w:t>
            </w:r>
            <w:r>
              <w:rPr>
                <w:sz w:val="21"/>
                <w:szCs w:val="21"/>
              </w:rPr>
              <w:t xml:space="preserve"> </w:t>
            </w:r>
            <w:hyperlink r:id="rId24" w:tooltip="Eddie Ray Kahn" w:history="1">
              <w:r>
                <w:rPr>
                  <w:rStyle w:val="Hyperlink"/>
                  <w:sz w:val="21"/>
                  <w:szCs w:val="21"/>
                </w:rPr>
                <w:t>Eddie Ray Kahn</w:t>
              </w:r>
            </w:hyperlink>
          </w:p>
        </w:tc>
      </w:tr>
      <w:tr w:rsidR="00160BEB" w:rsidTr="00160BEB">
        <w:trPr>
          <w:tblCellSpacing w:w="15" w:type="dxa"/>
        </w:trPr>
        <w:tc>
          <w:tcPr>
            <w:tcW w:w="0" w:type="auto"/>
            <w:tcBorders>
              <w:top w:val="single" w:sz="4" w:space="0" w:color="AAAAAA"/>
            </w:tcBorders>
            <w:shd w:val="clear" w:color="auto" w:fill="F9F9F9"/>
            <w:tcMar>
              <w:top w:w="24" w:type="dxa"/>
              <w:left w:w="24" w:type="dxa"/>
              <w:bottom w:w="24" w:type="dxa"/>
              <w:right w:w="24" w:type="dxa"/>
            </w:tcMar>
            <w:vAlign w:val="center"/>
            <w:hideMark/>
          </w:tcPr>
          <w:p w:rsidR="00160BEB" w:rsidRDefault="00160BEB">
            <w:pPr>
              <w:spacing w:after="240" w:line="336" w:lineRule="atLeast"/>
              <w:jc w:val="center"/>
              <w:rPr>
                <w:b/>
                <w:bCs/>
                <w:sz w:val="21"/>
                <w:szCs w:val="21"/>
              </w:rPr>
            </w:pPr>
            <w:r>
              <w:rPr>
                <w:b/>
                <w:bCs/>
                <w:sz w:val="21"/>
                <w:szCs w:val="21"/>
              </w:rPr>
              <w:t>Related topics</w:t>
            </w:r>
          </w:p>
        </w:tc>
      </w:tr>
      <w:tr w:rsidR="00160BEB" w:rsidTr="00160BEB">
        <w:trPr>
          <w:tblCellSpacing w:w="15" w:type="dxa"/>
        </w:trPr>
        <w:tc>
          <w:tcPr>
            <w:tcW w:w="0" w:type="auto"/>
            <w:shd w:val="clear" w:color="auto" w:fill="F9F9F9"/>
            <w:tcMar>
              <w:top w:w="0" w:type="dxa"/>
              <w:left w:w="24" w:type="dxa"/>
              <w:bottom w:w="96" w:type="dxa"/>
              <w:right w:w="24" w:type="dxa"/>
            </w:tcMar>
            <w:vAlign w:val="center"/>
            <w:hideMark/>
          </w:tcPr>
          <w:p w:rsidR="00160BEB" w:rsidRDefault="00160BEB">
            <w:pPr>
              <w:spacing w:after="240" w:line="336" w:lineRule="atLeast"/>
              <w:jc w:val="center"/>
              <w:rPr>
                <w:sz w:val="21"/>
                <w:szCs w:val="21"/>
              </w:rPr>
            </w:pPr>
            <w:hyperlink r:id="rId25" w:tooltip="America: Freedom to Fascism" w:history="1">
              <w:r>
                <w:rPr>
                  <w:rStyle w:val="Hyperlink"/>
                  <w:i/>
                  <w:iCs/>
                  <w:sz w:val="21"/>
                  <w:szCs w:val="21"/>
                </w:rPr>
                <w:t>America: Freedom to Fascism</w:t>
              </w:r>
            </w:hyperlink>
            <w:r>
              <w:rPr>
                <w:sz w:val="21"/>
                <w:szCs w:val="21"/>
              </w:rPr>
              <w:br/>
            </w:r>
            <w:r>
              <w:rPr>
                <w:rStyle w:val="Strong"/>
                <w:i/>
                <w:iCs/>
                <w:sz w:val="21"/>
                <w:szCs w:val="21"/>
              </w:rPr>
              <w:t>The Law that Never Was</w:t>
            </w:r>
            <w:r>
              <w:rPr>
                <w:sz w:val="21"/>
                <w:szCs w:val="21"/>
              </w:rPr>
              <w:br/>
            </w:r>
            <w:hyperlink r:id="rId26" w:tooltip="Cheek v. United States" w:history="1">
              <w:r>
                <w:rPr>
                  <w:rStyle w:val="Hyperlink"/>
                  <w:i/>
                  <w:iCs/>
                  <w:sz w:val="21"/>
                  <w:szCs w:val="21"/>
                </w:rPr>
                <w:t>Cheek v. United States</w:t>
              </w:r>
            </w:hyperlink>
            <w:r>
              <w:rPr>
                <w:sz w:val="21"/>
                <w:szCs w:val="21"/>
              </w:rPr>
              <w:br/>
            </w:r>
            <w:hyperlink r:id="rId27" w:tooltip="Titles of Nobility Amendment" w:history="1">
              <w:r>
                <w:rPr>
                  <w:rStyle w:val="Hyperlink"/>
                  <w:sz w:val="21"/>
                  <w:szCs w:val="21"/>
                </w:rPr>
                <w:t>Titles of Nobility Amendment</w:t>
              </w:r>
            </w:hyperlink>
            <w:r>
              <w:rPr>
                <w:sz w:val="21"/>
                <w:szCs w:val="21"/>
              </w:rPr>
              <w:br/>
            </w:r>
            <w:hyperlink r:id="rId28" w:tooltip="Tax noncompliance" w:history="1">
              <w:r>
                <w:rPr>
                  <w:rStyle w:val="Hyperlink"/>
                  <w:sz w:val="21"/>
                  <w:szCs w:val="21"/>
                </w:rPr>
                <w:t>Tax noncompliance</w:t>
              </w:r>
            </w:hyperlink>
            <w:r>
              <w:rPr>
                <w:sz w:val="21"/>
                <w:szCs w:val="21"/>
              </w:rPr>
              <w:br/>
            </w:r>
            <w:hyperlink r:id="rId29" w:tooltip="Tax resistance" w:history="1">
              <w:r>
                <w:rPr>
                  <w:rStyle w:val="Hyperlink"/>
                  <w:sz w:val="21"/>
                  <w:szCs w:val="21"/>
                </w:rPr>
                <w:t>Tax resistance</w:t>
              </w:r>
            </w:hyperlink>
            <w:r>
              <w:rPr>
                <w:sz w:val="21"/>
                <w:szCs w:val="21"/>
              </w:rPr>
              <w:br/>
            </w:r>
            <w:hyperlink r:id="rId30" w:tooltip="Christian Patriot movement" w:history="1">
              <w:r>
                <w:rPr>
                  <w:rStyle w:val="Hyperlink"/>
                  <w:sz w:val="21"/>
                  <w:szCs w:val="21"/>
                </w:rPr>
                <w:t>Christian Patriot movement</w:t>
              </w:r>
            </w:hyperlink>
            <w:r>
              <w:rPr>
                <w:sz w:val="21"/>
                <w:szCs w:val="21"/>
              </w:rPr>
              <w:br/>
            </w:r>
            <w:hyperlink r:id="rId31" w:tooltip="Posse Comitatus (organization)" w:history="1">
              <w:r>
                <w:rPr>
                  <w:rStyle w:val="Hyperlink"/>
                  <w:sz w:val="21"/>
                  <w:szCs w:val="21"/>
                </w:rPr>
                <w:t xml:space="preserve">Posse </w:t>
              </w:r>
              <w:proofErr w:type="spellStart"/>
              <w:r>
                <w:rPr>
                  <w:rStyle w:val="Hyperlink"/>
                  <w:sz w:val="21"/>
                  <w:szCs w:val="21"/>
                </w:rPr>
                <w:t>Comitatus</w:t>
              </w:r>
              <w:proofErr w:type="spellEnd"/>
            </w:hyperlink>
            <w:r>
              <w:rPr>
                <w:sz w:val="21"/>
                <w:szCs w:val="21"/>
              </w:rPr>
              <w:br/>
            </w:r>
            <w:hyperlink r:id="rId32" w:tooltip="Sovereign citizen movement" w:history="1">
              <w:r>
                <w:rPr>
                  <w:rStyle w:val="Hyperlink"/>
                  <w:sz w:val="21"/>
                  <w:szCs w:val="21"/>
                </w:rPr>
                <w:t>Sovereign citizen movement</w:t>
              </w:r>
            </w:hyperlink>
          </w:p>
        </w:tc>
      </w:tr>
      <w:tr w:rsidR="00160BEB" w:rsidTr="00160BEB">
        <w:trPr>
          <w:tblCellSpacing w:w="15" w:type="dxa"/>
        </w:trPr>
        <w:tc>
          <w:tcPr>
            <w:tcW w:w="0" w:type="auto"/>
            <w:shd w:val="clear" w:color="auto" w:fill="F9F9F9"/>
            <w:vAlign w:val="center"/>
            <w:hideMark/>
          </w:tcPr>
          <w:p w:rsidR="00160BEB" w:rsidRDefault="00160BEB" w:rsidP="00160BEB">
            <w:pPr>
              <w:numPr>
                <w:ilvl w:val="0"/>
                <w:numId w:val="27"/>
              </w:numPr>
              <w:spacing w:before="100" w:beforeAutospacing="1" w:after="100" w:afterAutospacing="1" w:line="336" w:lineRule="atLeast"/>
              <w:jc w:val="right"/>
              <w:rPr>
                <w:sz w:val="24"/>
                <w:szCs w:val="24"/>
              </w:rPr>
            </w:pPr>
            <w:hyperlink r:id="rId33" w:tooltip="Template:Tax protest in the United States" w:history="1">
              <w:r>
                <w:rPr>
                  <w:rStyle w:val="Hyperlink"/>
                </w:rPr>
                <w:t>v</w:t>
              </w:r>
            </w:hyperlink>
          </w:p>
          <w:p w:rsidR="00160BEB" w:rsidRDefault="00160BEB" w:rsidP="00160BEB">
            <w:pPr>
              <w:numPr>
                <w:ilvl w:val="0"/>
                <w:numId w:val="27"/>
              </w:numPr>
              <w:spacing w:before="100" w:beforeAutospacing="1" w:after="100" w:afterAutospacing="1" w:line="336" w:lineRule="atLeast"/>
              <w:jc w:val="right"/>
            </w:pPr>
            <w:hyperlink r:id="rId34" w:tooltip="Template talk:Tax protest in the United States" w:history="1">
              <w:r>
                <w:rPr>
                  <w:rStyle w:val="Hyperlink"/>
                </w:rPr>
                <w:t>t</w:t>
              </w:r>
            </w:hyperlink>
          </w:p>
          <w:p w:rsidR="00160BEB" w:rsidRDefault="00160BEB" w:rsidP="00160BEB">
            <w:pPr>
              <w:numPr>
                <w:ilvl w:val="0"/>
                <w:numId w:val="27"/>
              </w:numPr>
              <w:spacing w:before="100" w:beforeAutospacing="1" w:after="100" w:afterAutospacing="1" w:line="336" w:lineRule="atLeast"/>
              <w:jc w:val="right"/>
              <w:rPr>
                <w:sz w:val="24"/>
                <w:szCs w:val="24"/>
              </w:rPr>
            </w:pPr>
            <w:hyperlink r:id="rId35" w:history="1">
              <w:r>
                <w:rPr>
                  <w:rStyle w:val="Hyperlink"/>
                </w:rPr>
                <w:t>e</w:t>
              </w:r>
            </w:hyperlink>
          </w:p>
        </w:tc>
      </w:tr>
    </w:tbl>
    <w:p w:rsidR="00160BEB" w:rsidRDefault="00160BEB" w:rsidP="00160BEB">
      <w:pPr>
        <w:rPr>
          <w:vanish/>
          <w:lang/>
        </w:rPr>
      </w:pPr>
    </w:p>
    <w:tbl>
      <w:tblPr>
        <w:tblW w:w="5280" w:type="dxa"/>
        <w:tblCellSpacing w:w="15"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5280"/>
      </w:tblGrid>
      <w:tr w:rsidR="00160BEB" w:rsidTr="00160BEB">
        <w:trPr>
          <w:tblCellSpacing w:w="15" w:type="dxa"/>
        </w:trPr>
        <w:tc>
          <w:tcPr>
            <w:tcW w:w="0" w:type="auto"/>
            <w:shd w:val="clear" w:color="auto" w:fill="F9F9F9"/>
            <w:tcMar>
              <w:top w:w="48" w:type="dxa"/>
              <w:left w:w="96" w:type="dxa"/>
              <w:bottom w:w="48" w:type="dxa"/>
              <w:right w:w="96" w:type="dxa"/>
            </w:tcMar>
            <w:vAlign w:val="center"/>
            <w:hideMark/>
          </w:tcPr>
          <w:p w:rsidR="00160BEB" w:rsidRDefault="00160BEB">
            <w:pPr>
              <w:spacing w:after="240" w:line="288" w:lineRule="atLeast"/>
              <w:jc w:val="center"/>
              <w:rPr>
                <w:b/>
                <w:bCs/>
                <w:sz w:val="30"/>
                <w:szCs w:val="30"/>
              </w:rPr>
            </w:pPr>
            <w:hyperlink r:id="rId36" w:tooltip="Taxation in the United States" w:history="1">
              <w:r>
                <w:rPr>
                  <w:rStyle w:val="Hyperlink"/>
                  <w:b/>
                  <w:bCs/>
                  <w:sz w:val="30"/>
                  <w:szCs w:val="30"/>
                </w:rPr>
                <w:t>Taxation in the United States</w:t>
              </w:r>
            </w:hyperlink>
          </w:p>
        </w:tc>
      </w:tr>
      <w:tr w:rsidR="00160BEB" w:rsidTr="00160BEB">
        <w:trPr>
          <w:tblCellSpacing w:w="15" w:type="dxa"/>
        </w:trPr>
        <w:tc>
          <w:tcPr>
            <w:tcW w:w="0" w:type="auto"/>
            <w:shd w:val="clear" w:color="auto" w:fill="F9F9F9"/>
            <w:tcMar>
              <w:top w:w="48" w:type="dxa"/>
              <w:left w:w="0" w:type="dxa"/>
              <w:bottom w:w="96" w:type="dxa"/>
              <w:right w:w="0" w:type="dxa"/>
            </w:tcMar>
            <w:vAlign w:val="center"/>
            <w:hideMark/>
          </w:tcPr>
          <w:p w:rsidR="00160BEB" w:rsidRDefault="00160BEB">
            <w:pPr>
              <w:spacing w:after="240" w:line="336" w:lineRule="atLeast"/>
              <w:jc w:val="center"/>
              <w:rPr>
                <w:sz w:val="21"/>
                <w:szCs w:val="21"/>
              </w:rPr>
            </w:pPr>
            <w:r>
              <w:rPr>
                <w:noProof/>
                <w:color w:val="0000FF"/>
                <w:sz w:val="21"/>
                <w:szCs w:val="21"/>
              </w:rPr>
              <w:drawing>
                <wp:inline distT="0" distB="0" distL="0" distR="0">
                  <wp:extent cx="1426845" cy="1426845"/>
                  <wp:effectExtent l="19050" t="0" r="1905" b="0"/>
                  <wp:docPr id="5" name="Picture 2" descr="Great Seal of the United States (obverse).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Seal of the United States (obverse).svg">
                            <a:hlinkClick r:id="rId37"/>
                          </pic:cNvPr>
                          <pic:cNvPicPr>
                            <a:picLocks noChangeAspect="1" noChangeArrowheads="1"/>
                          </pic:cNvPicPr>
                        </pic:nvPicPr>
                        <pic:blipFill>
                          <a:blip r:embed="rId38" cstate="print"/>
                          <a:srcRect/>
                          <a:stretch>
                            <a:fillRect/>
                          </a:stretch>
                        </pic:blipFill>
                        <pic:spPr bwMode="auto">
                          <a:xfrm>
                            <a:off x="0" y="0"/>
                            <a:ext cx="1426845" cy="1426845"/>
                          </a:xfrm>
                          <a:prstGeom prst="rect">
                            <a:avLst/>
                          </a:prstGeom>
                          <a:noFill/>
                          <a:ln w="9525">
                            <a:noFill/>
                            <a:miter lim="800000"/>
                            <a:headEnd/>
                            <a:tailEnd/>
                          </a:ln>
                        </pic:spPr>
                      </pic:pic>
                    </a:graphicData>
                  </a:graphic>
                </wp:inline>
              </w:drawing>
            </w:r>
          </w:p>
        </w:tc>
      </w:tr>
      <w:tr w:rsidR="00160BEB" w:rsidTr="00160BEB">
        <w:trPr>
          <w:tblCellSpacing w:w="15" w:type="dxa"/>
        </w:trPr>
        <w:tc>
          <w:tcPr>
            <w:tcW w:w="0" w:type="auto"/>
            <w:shd w:val="clear" w:color="auto" w:fill="F9F9F9"/>
            <w:tcMar>
              <w:top w:w="0" w:type="dxa"/>
              <w:left w:w="24" w:type="dxa"/>
              <w:bottom w:w="96" w:type="dxa"/>
              <w:right w:w="24" w:type="dxa"/>
            </w:tcMar>
            <w:vAlign w:val="center"/>
            <w:hideMark/>
          </w:tcPr>
          <w:p w:rsidR="00160BEB" w:rsidRDefault="00160BEB" w:rsidP="00160BEB">
            <w:pPr>
              <w:shd w:val="clear" w:color="auto" w:fill="E6E6FA"/>
              <w:spacing w:after="240" w:line="336" w:lineRule="atLeast"/>
            </w:pPr>
            <w:hyperlink r:id="rId39" w:anchor="Federal_taxation" w:tooltip="Taxation in the United States" w:history="1">
              <w:r>
                <w:rPr>
                  <w:rStyle w:val="Hyperlink"/>
                </w:rPr>
                <w:t>Federal taxation</w:t>
              </w:r>
            </w:hyperlink>
            <w:hyperlink r:id="rId40" w:history="1">
              <w:r>
                <w:rPr>
                  <w:rStyle w:val="Hyperlink"/>
                </w:rPr>
                <w:t>[hide]</w:t>
              </w:r>
            </w:hyperlink>
          </w:p>
          <w:p w:rsidR="00160BEB" w:rsidRDefault="00160BEB" w:rsidP="00160BEB">
            <w:pPr>
              <w:numPr>
                <w:ilvl w:val="0"/>
                <w:numId w:val="28"/>
              </w:numPr>
              <w:spacing w:before="100" w:beforeAutospacing="1" w:after="100" w:afterAutospacing="1" w:line="336" w:lineRule="atLeast"/>
              <w:jc w:val="center"/>
            </w:pPr>
            <w:hyperlink r:id="rId41" w:tooltip="Alternative minimum tax" w:history="1">
              <w:r>
                <w:rPr>
                  <w:rStyle w:val="Hyperlink"/>
                </w:rPr>
                <w:t>Alternative minimum tax</w:t>
              </w:r>
            </w:hyperlink>
          </w:p>
          <w:p w:rsidR="00160BEB" w:rsidRDefault="00160BEB" w:rsidP="00160BEB">
            <w:pPr>
              <w:numPr>
                <w:ilvl w:val="0"/>
                <w:numId w:val="28"/>
              </w:numPr>
              <w:spacing w:before="100" w:beforeAutospacing="1" w:after="100" w:afterAutospacing="1" w:line="336" w:lineRule="atLeast"/>
              <w:jc w:val="center"/>
            </w:pPr>
            <w:hyperlink r:id="rId42" w:tooltip="Capital gains tax in the United States" w:history="1">
              <w:r>
                <w:rPr>
                  <w:rStyle w:val="Hyperlink"/>
                </w:rPr>
                <w:t>Capital gains tax</w:t>
              </w:r>
            </w:hyperlink>
          </w:p>
          <w:p w:rsidR="00160BEB" w:rsidRDefault="00160BEB" w:rsidP="00160BEB">
            <w:pPr>
              <w:numPr>
                <w:ilvl w:val="0"/>
                <w:numId w:val="28"/>
              </w:numPr>
              <w:spacing w:before="100" w:beforeAutospacing="1" w:after="100" w:afterAutospacing="1" w:line="336" w:lineRule="atLeast"/>
              <w:jc w:val="center"/>
            </w:pPr>
            <w:hyperlink r:id="rId43" w:tooltip="Corporate tax in the United States" w:history="1">
              <w:r>
                <w:rPr>
                  <w:rStyle w:val="Hyperlink"/>
                </w:rPr>
                <w:t>Corporate tax</w:t>
              </w:r>
            </w:hyperlink>
          </w:p>
          <w:p w:rsidR="00160BEB" w:rsidRDefault="00160BEB" w:rsidP="00160BEB">
            <w:pPr>
              <w:numPr>
                <w:ilvl w:val="0"/>
                <w:numId w:val="28"/>
              </w:numPr>
              <w:spacing w:before="100" w:beforeAutospacing="1" w:after="100" w:afterAutospacing="1" w:line="336" w:lineRule="atLeast"/>
              <w:jc w:val="center"/>
            </w:pPr>
            <w:hyperlink r:id="rId44" w:tooltip="Estate tax in the United States" w:history="1">
              <w:r>
                <w:rPr>
                  <w:rStyle w:val="Hyperlink"/>
                </w:rPr>
                <w:t>Estate tax</w:t>
              </w:r>
            </w:hyperlink>
          </w:p>
          <w:p w:rsidR="00160BEB" w:rsidRDefault="00160BEB" w:rsidP="00160BEB">
            <w:pPr>
              <w:numPr>
                <w:ilvl w:val="0"/>
                <w:numId w:val="28"/>
              </w:numPr>
              <w:spacing w:before="100" w:beforeAutospacing="1" w:after="100" w:afterAutospacing="1" w:line="336" w:lineRule="atLeast"/>
              <w:jc w:val="center"/>
            </w:pPr>
            <w:hyperlink r:id="rId45" w:tooltip="Excise tax in the United States" w:history="1">
              <w:r>
                <w:rPr>
                  <w:rStyle w:val="Hyperlink"/>
                </w:rPr>
                <w:t>Excise tax</w:t>
              </w:r>
            </w:hyperlink>
          </w:p>
          <w:p w:rsidR="00160BEB" w:rsidRDefault="00160BEB" w:rsidP="00160BEB">
            <w:pPr>
              <w:numPr>
                <w:ilvl w:val="0"/>
                <w:numId w:val="28"/>
              </w:numPr>
              <w:spacing w:before="100" w:beforeAutospacing="1" w:after="100" w:afterAutospacing="1" w:line="336" w:lineRule="atLeast"/>
              <w:jc w:val="center"/>
            </w:pPr>
            <w:hyperlink r:id="rId46" w:tooltip="Federal Insurance Contributions Act tax" w:history="1">
              <w:r>
                <w:rPr>
                  <w:rStyle w:val="Hyperlink"/>
                </w:rPr>
                <w:t>Payroll tax</w:t>
              </w:r>
            </w:hyperlink>
          </w:p>
          <w:p w:rsidR="00160BEB" w:rsidRDefault="00160BEB" w:rsidP="00160BEB">
            <w:pPr>
              <w:numPr>
                <w:ilvl w:val="0"/>
                <w:numId w:val="28"/>
              </w:numPr>
              <w:spacing w:before="100" w:beforeAutospacing="1" w:after="100" w:afterAutospacing="1" w:line="336" w:lineRule="atLeast"/>
              <w:jc w:val="center"/>
            </w:pPr>
            <w:hyperlink r:id="rId47" w:tooltip="Federal tax revenue by state" w:history="1">
              <w:r>
                <w:rPr>
                  <w:rStyle w:val="Hyperlink"/>
                </w:rPr>
                <w:t>Revenue</w:t>
              </w:r>
            </w:hyperlink>
          </w:p>
          <w:p w:rsidR="00160BEB" w:rsidRDefault="00160BEB" w:rsidP="00160BEB">
            <w:pPr>
              <w:numPr>
                <w:ilvl w:val="0"/>
                <w:numId w:val="28"/>
              </w:numPr>
              <w:spacing w:before="100" w:beforeAutospacing="1" w:after="100" w:afterAutospacing="1" w:line="336" w:lineRule="atLeast"/>
              <w:jc w:val="center"/>
            </w:pPr>
            <w:hyperlink r:id="rId48" w:tooltip="Gift tax in the United States" w:history="1">
              <w:r>
                <w:rPr>
                  <w:rStyle w:val="Hyperlink"/>
                </w:rPr>
                <w:t>Gift tax</w:t>
              </w:r>
            </w:hyperlink>
          </w:p>
          <w:p w:rsidR="00160BEB" w:rsidRDefault="00160BEB" w:rsidP="00160BEB">
            <w:pPr>
              <w:numPr>
                <w:ilvl w:val="0"/>
                <w:numId w:val="28"/>
              </w:numPr>
              <w:spacing w:before="100" w:beforeAutospacing="1" w:after="100" w:afterAutospacing="1" w:line="336" w:lineRule="atLeast"/>
              <w:jc w:val="center"/>
            </w:pPr>
            <w:hyperlink r:id="rId49" w:tooltip="Income tax in the United States" w:history="1">
              <w:r>
                <w:rPr>
                  <w:rStyle w:val="Hyperlink"/>
                </w:rPr>
                <w:t>Income tax</w:t>
              </w:r>
            </w:hyperlink>
          </w:p>
          <w:p w:rsidR="00160BEB" w:rsidRDefault="00160BEB" w:rsidP="00160BEB">
            <w:pPr>
              <w:numPr>
                <w:ilvl w:val="0"/>
                <w:numId w:val="28"/>
              </w:numPr>
              <w:spacing w:before="100" w:beforeAutospacing="1" w:after="100" w:afterAutospacing="1" w:line="336" w:lineRule="atLeast"/>
              <w:jc w:val="center"/>
            </w:pPr>
            <w:hyperlink r:id="rId50" w:tooltip="Internal Revenue Service" w:history="1">
              <w:r>
                <w:rPr>
                  <w:rStyle w:val="Hyperlink"/>
                </w:rPr>
                <w:t>Internal Revenue Service (IRS)</w:t>
              </w:r>
            </w:hyperlink>
          </w:p>
          <w:p w:rsidR="00160BEB" w:rsidRDefault="00160BEB" w:rsidP="00160BEB">
            <w:pPr>
              <w:numPr>
                <w:ilvl w:val="0"/>
                <w:numId w:val="28"/>
              </w:numPr>
              <w:spacing w:before="100" w:beforeAutospacing="1" w:after="100" w:afterAutospacing="1" w:line="336" w:lineRule="atLeast"/>
              <w:jc w:val="center"/>
            </w:pPr>
            <w:hyperlink r:id="rId51" w:tooltip="Internal Revenue Code" w:history="1">
              <w:r>
                <w:rPr>
                  <w:rStyle w:val="Hyperlink"/>
                </w:rPr>
                <w:t>Internal Revenue Code (IRC)</w:t>
              </w:r>
            </w:hyperlink>
          </w:p>
          <w:p w:rsidR="00160BEB" w:rsidRDefault="00160BEB" w:rsidP="00160BEB">
            <w:pPr>
              <w:numPr>
                <w:ilvl w:val="0"/>
                <w:numId w:val="28"/>
              </w:numPr>
              <w:spacing w:before="100" w:beforeAutospacing="1" w:after="100" w:afterAutospacing="1" w:line="336" w:lineRule="atLeast"/>
              <w:jc w:val="center"/>
            </w:pPr>
            <w:hyperlink r:id="rId52" w:tooltip="IRS tax forms" w:history="1">
              <w:r>
                <w:rPr>
                  <w:rStyle w:val="Hyperlink"/>
                </w:rPr>
                <w:t>IRS tax forms</w:t>
              </w:r>
            </w:hyperlink>
          </w:p>
          <w:p w:rsidR="00160BEB" w:rsidRDefault="00160BEB" w:rsidP="00160BEB">
            <w:pPr>
              <w:numPr>
                <w:ilvl w:val="0"/>
                <w:numId w:val="28"/>
              </w:numPr>
              <w:spacing w:before="100" w:beforeAutospacing="1" w:after="100" w:afterAutospacing="1" w:line="336" w:lineRule="atLeast"/>
              <w:jc w:val="center"/>
            </w:pPr>
            <w:hyperlink r:id="rId53" w:tooltip="Taxation history of the United States" w:history="1">
              <w:r>
                <w:rPr>
                  <w:rStyle w:val="Hyperlink"/>
                </w:rPr>
                <w:t>History</w:t>
              </w:r>
            </w:hyperlink>
          </w:p>
          <w:p w:rsidR="00160BEB" w:rsidRDefault="00160BEB" w:rsidP="00160BEB">
            <w:pPr>
              <w:numPr>
                <w:ilvl w:val="0"/>
                <w:numId w:val="28"/>
              </w:numPr>
              <w:spacing w:before="100" w:beforeAutospacing="1" w:after="100" w:afterAutospacing="1" w:line="336" w:lineRule="atLeast"/>
              <w:jc w:val="center"/>
            </w:pPr>
            <w:hyperlink r:id="rId54" w:tooltip="Taxing and Spending Clause" w:history="1">
              <w:r>
                <w:rPr>
                  <w:rStyle w:val="Hyperlink"/>
                </w:rPr>
                <w:t>Constitutional authority</w:t>
              </w:r>
            </w:hyperlink>
          </w:p>
          <w:p w:rsidR="00160BEB" w:rsidRDefault="00160BEB" w:rsidP="00160BEB">
            <w:pPr>
              <w:numPr>
                <w:ilvl w:val="0"/>
                <w:numId w:val="28"/>
              </w:numPr>
              <w:spacing w:before="100" w:beforeAutospacing="1" w:after="100" w:afterAutospacing="1" w:line="336" w:lineRule="atLeast"/>
              <w:jc w:val="center"/>
            </w:pPr>
            <w:hyperlink r:id="rId55" w:anchor="Taxpayer_standing" w:tooltip="Standing (law)" w:history="1">
              <w:r>
                <w:rPr>
                  <w:rStyle w:val="Hyperlink"/>
                </w:rPr>
                <w:t>Taxpayer standing</w:t>
              </w:r>
            </w:hyperlink>
          </w:p>
          <w:p w:rsidR="00160BEB" w:rsidRDefault="00160BEB" w:rsidP="00160BEB">
            <w:pPr>
              <w:numPr>
                <w:ilvl w:val="0"/>
                <w:numId w:val="28"/>
              </w:numPr>
              <w:spacing w:before="100" w:beforeAutospacing="1" w:after="100" w:afterAutospacing="1" w:line="336" w:lineRule="atLeast"/>
              <w:jc w:val="center"/>
            </w:pPr>
            <w:hyperlink r:id="rId56" w:tooltip="United States Tax Court" w:history="1">
              <w:r>
                <w:rPr>
                  <w:rStyle w:val="Hyperlink"/>
                </w:rPr>
                <w:t>Court</w:t>
              </w:r>
            </w:hyperlink>
          </w:p>
          <w:p w:rsidR="00160BEB" w:rsidRDefault="00160BEB" w:rsidP="00160BEB">
            <w:pPr>
              <w:numPr>
                <w:ilvl w:val="0"/>
                <w:numId w:val="28"/>
              </w:numPr>
              <w:spacing w:before="100" w:beforeAutospacing="1" w:after="100" w:afterAutospacing="1" w:line="336" w:lineRule="atLeast"/>
              <w:jc w:val="center"/>
            </w:pPr>
            <w:hyperlink r:id="rId57" w:tooltip="Tax protester" w:history="1">
              <w:r>
                <w:rPr>
                  <w:rStyle w:val="Hyperlink"/>
                </w:rPr>
                <w:t>Protest</w:t>
              </w:r>
            </w:hyperlink>
          </w:p>
          <w:p w:rsidR="00160BEB" w:rsidRDefault="00160BEB" w:rsidP="00160BEB">
            <w:pPr>
              <w:numPr>
                <w:ilvl w:val="0"/>
                <w:numId w:val="28"/>
              </w:numPr>
              <w:spacing w:before="100" w:beforeAutospacing="1" w:after="100" w:afterAutospacing="1" w:line="336" w:lineRule="atLeast"/>
              <w:jc w:val="center"/>
            </w:pPr>
            <w:hyperlink r:id="rId58" w:tooltip="Tax evasion in the United States" w:history="1">
              <w:r>
                <w:rPr>
                  <w:rStyle w:val="Hyperlink"/>
                </w:rPr>
                <w:t>Evasion</w:t>
              </w:r>
            </w:hyperlink>
          </w:p>
        </w:tc>
      </w:tr>
      <w:tr w:rsidR="00160BEB" w:rsidTr="00160BEB">
        <w:trPr>
          <w:tblCellSpacing w:w="15" w:type="dxa"/>
        </w:trPr>
        <w:tc>
          <w:tcPr>
            <w:tcW w:w="0" w:type="auto"/>
            <w:shd w:val="clear" w:color="auto" w:fill="F9F9F9"/>
            <w:tcMar>
              <w:top w:w="0" w:type="dxa"/>
              <w:left w:w="24" w:type="dxa"/>
              <w:bottom w:w="96" w:type="dxa"/>
              <w:right w:w="24" w:type="dxa"/>
            </w:tcMar>
            <w:vAlign w:val="center"/>
            <w:hideMark/>
          </w:tcPr>
          <w:p w:rsidR="00160BEB" w:rsidRDefault="00160BEB" w:rsidP="00160BEB">
            <w:pPr>
              <w:shd w:val="clear" w:color="auto" w:fill="E6E6FA"/>
              <w:spacing w:line="336" w:lineRule="atLeast"/>
            </w:pPr>
            <w:hyperlink r:id="rId59" w:anchor="State_and_local_government_taxation" w:tooltip="Taxation in the United States" w:history="1">
              <w:r>
                <w:rPr>
                  <w:rStyle w:val="Hyperlink"/>
                </w:rPr>
                <w:t>State and local taxation</w:t>
              </w:r>
            </w:hyperlink>
            <w:hyperlink r:id="rId60" w:history="1">
              <w:r>
                <w:rPr>
                  <w:rStyle w:val="Hyperlink"/>
                </w:rPr>
                <w:t>[hide]</w:t>
              </w:r>
            </w:hyperlink>
          </w:p>
          <w:p w:rsidR="00160BEB" w:rsidRDefault="00160BEB" w:rsidP="00160BEB">
            <w:pPr>
              <w:numPr>
                <w:ilvl w:val="0"/>
                <w:numId w:val="29"/>
              </w:numPr>
              <w:spacing w:before="100" w:beforeAutospacing="1" w:after="100" w:afterAutospacing="1" w:line="336" w:lineRule="atLeast"/>
              <w:jc w:val="center"/>
            </w:pPr>
            <w:hyperlink r:id="rId61" w:tooltip="Land value tax in the United States" w:history="1">
              <w:r>
                <w:rPr>
                  <w:rStyle w:val="Hyperlink"/>
                </w:rPr>
                <w:t>Land value tax</w:t>
              </w:r>
            </w:hyperlink>
          </w:p>
          <w:p w:rsidR="00160BEB" w:rsidRDefault="00160BEB" w:rsidP="00160BEB">
            <w:pPr>
              <w:numPr>
                <w:ilvl w:val="0"/>
                <w:numId w:val="29"/>
              </w:numPr>
              <w:spacing w:before="100" w:beforeAutospacing="1" w:after="100" w:afterAutospacing="1" w:line="336" w:lineRule="atLeast"/>
              <w:jc w:val="center"/>
            </w:pPr>
            <w:hyperlink r:id="rId62" w:tooltip="Property tax in the United States" w:history="1">
              <w:r>
                <w:rPr>
                  <w:rStyle w:val="Hyperlink"/>
                </w:rPr>
                <w:t>Property tax</w:t>
              </w:r>
            </w:hyperlink>
          </w:p>
          <w:p w:rsidR="00160BEB" w:rsidRDefault="00160BEB" w:rsidP="00160BEB">
            <w:pPr>
              <w:numPr>
                <w:ilvl w:val="0"/>
                <w:numId w:val="29"/>
              </w:numPr>
              <w:spacing w:before="100" w:beforeAutospacing="1" w:after="100" w:afterAutospacing="1" w:line="336" w:lineRule="atLeast"/>
              <w:jc w:val="center"/>
            </w:pPr>
            <w:hyperlink r:id="rId63" w:tooltip="Sales taxes in the United States" w:history="1">
              <w:r>
                <w:rPr>
                  <w:rStyle w:val="Hyperlink"/>
                </w:rPr>
                <w:t>Sales tax</w:t>
              </w:r>
            </w:hyperlink>
          </w:p>
          <w:p w:rsidR="00160BEB" w:rsidRDefault="00160BEB" w:rsidP="00160BEB">
            <w:pPr>
              <w:numPr>
                <w:ilvl w:val="0"/>
                <w:numId w:val="29"/>
              </w:numPr>
              <w:spacing w:before="100" w:beforeAutospacing="1" w:after="100" w:afterAutospacing="1" w:line="336" w:lineRule="atLeast"/>
              <w:jc w:val="center"/>
            </w:pPr>
            <w:hyperlink r:id="rId64" w:tooltip="State income tax" w:history="1">
              <w:r>
                <w:rPr>
                  <w:rStyle w:val="Hyperlink"/>
                </w:rPr>
                <w:t>State income tax</w:t>
              </w:r>
            </w:hyperlink>
          </w:p>
          <w:p w:rsidR="00160BEB" w:rsidRDefault="00160BEB" w:rsidP="00160BEB">
            <w:pPr>
              <w:numPr>
                <w:ilvl w:val="0"/>
                <w:numId w:val="29"/>
              </w:numPr>
              <w:spacing w:before="100" w:beforeAutospacing="1" w:after="100" w:afterAutospacing="1" w:line="336" w:lineRule="atLeast"/>
              <w:jc w:val="center"/>
            </w:pPr>
            <w:hyperlink r:id="rId65" w:tooltip="State tax levels in the United States" w:history="1">
              <w:r>
                <w:rPr>
                  <w:rStyle w:val="Hyperlink"/>
                </w:rPr>
                <w:t>State tax levels</w:t>
              </w:r>
            </w:hyperlink>
          </w:p>
          <w:p w:rsidR="00160BEB" w:rsidRDefault="00160BEB" w:rsidP="00160BEB">
            <w:pPr>
              <w:numPr>
                <w:ilvl w:val="0"/>
                <w:numId w:val="29"/>
              </w:numPr>
              <w:spacing w:before="100" w:beforeAutospacing="1" w:after="100" w:afterAutospacing="1" w:line="336" w:lineRule="atLeast"/>
              <w:jc w:val="center"/>
            </w:pPr>
            <w:hyperlink r:id="rId66" w:tooltip="Use tax" w:history="1">
              <w:r>
                <w:rPr>
                  <w:rStyle w:val="Hyperlink"/>
                </w:rPr>
                <w:t>Use tax</w:t>
              </w:r>
            </w:hyperlink>
          </w:p>
        </w:tc>
      </w:tr>
      <w:tr w:rsidR="00160BEB" w:rsidTr="00160BEB">
        <w:trPr>
          <w:tblCellSpacing w:w="15" w:type="dxa"/>
        </w:trPr>
        <w:tc>
          <w:tcPr>
            <w:tcW w:w="0" w:type="auto"/>
            <w:shd w:val="clear" w:color="auto" w:fill="F9F9F9"/>
            <w:tcMar>
              <w:top w:w="0" w:type="dxa"/>
              <w:left w:w="24" w:type="dxa"/>
              <w:bottom w:w="96" w:type="dxa"/>
              <w:right w:w="24" w:type="dxa"/>
            </w:tcMar>
            <w:vAlign w:val="center"/>
            <w:hideMark/>
          </w:tcPr>
          <w:p w:rsidR="00160BEB" w:rsidRDefault="00160BEB" w:rsidP="00160BEB">
            <w:pPr>
              <w:shd w:val="clear" w:color="auto" w:fill="E6E6FA"/>
              <w:spacing w:line="336" w:lineRule="atLeast"/>
            </w:pPr>
            <w:hyperlink r:id="rId67" w:tooltip="Tax reform" w:history="1">
              <w:r>
                <w:rPr>
                  <w:rStyle w:val="Hyperlink"/>
                </w:rPr>
                <w:t>Federal tax reform</w:t>
              </w:r>
            </w:hyperlink>
            <w:hyperlink r:id="rId68" w:history="1">
              <w:r>
                <w:rPr>
                  <w:rStyle w:val="Hyperlink"/>
                </w:rPr>
                <w:t>[show]</w:t>
              </w:r>
            </w:hyperlink>
          </w:p>
        </w:tc>
      </w:tr>
      <w:tr w:rsidR="00160BEB" w:rsidTr="00160BEB">
        <w:trPr>
          <w:tblCellSpacing w:w="15" w:type="dxa"/>
        </w:trPr>
        <w:tc>
          <w:tcPr>
            <w:tcW w:w="0" w:type="auto"/>
            <w:shd w:val="clear" w:color="auto" w:fill="F9F9F9"/>
            <w:tcMar>
              <w:top w:w="144" w:type="dxa"/>
              <w:left w:w="48" w:type="dxa"/>
              <w:bottom w:w="48" w:type="dxa"/>
              <w:right w:w="48" w:type="dxa"/>
            </w:tcMar>
            <w:vAlign w:val="center"/>
            <w:hideMark/>
          </w:tcPr>
          <w:p w:rsidR="00160BEB" w:rsidRDefault="00160BEB" w:rsidP="00160BEB">
            <w:pPr>
              <w:numPr>
                <w:ilvl w:val="0"/>
                <w:numId w:val="30"/>
              </w:numPr>
              <w:spacing w:before="100" w:beforeAutospacing="1" w:after="100" w:afterAutospacing="1" w:line="336" w:lineRule="atLeast"/>
              <w:jc w:val="right"/>
              <w:rPr>
                <w:sz w:val="24"/>
                <w:szCs w:val="24"/>
              </w:rPr>
            </w:pPr>
            <w:hyperlink r:id="rId69" w:tooltip="Template:US taxation" w:history="1">
              <w:r>
                <w:rPr>
                  <w:rStyle w:val="Hyperlink"/>
                </w:rPr>
                <w:t>v</w:t>
              </w:r>
            </w:hyperlink>
          </w:p>
          <w:p w:rsidR="00160BEB" w:rsidRDefault="00160BEB" w:rsidP="00160BEB">
            <w:pPr>
              <w:numPr>
                <w:ilvl w:val="0"/>
                <w:numId w:val="30"/>
              </w:numPr>
              <w:spacing w:before="100" w:beforeAutospacing="1" w:after="100" w:afterAutospacing="1" w:line="336" w:lineRule="atLeast"/>
              <w:jc w:val="right"/>
            </w:pPr>
            <w:hyperlink r:id="rId70" w:tooltip="Template talk:US taxation" w:history="1">
              <w:r>
                <w:rPr>
                  <w:rStyle w:val="Hyperlink"/>
                </w:rPr>
                <w:t>t</w:t>
              </w:r>
            </w:hyperlink>
          </w:p>
          <w:p w:rsidR="00160BEB" w:rsidRDefault="00160BEB" w:rsidP="00160BEB">
            <w:pPr>
              <w:numPr>
                <w:ilvl w:val="0"/>
                <w:numId w:val="30"/>
              </w:numPr>
              <w:spacing w:before="100" w:beforeAutospacing="1" w:after="100" w:afterAutospacing="1" w:line="336" w:lineRule="atLeast"/>
              <w:jc w:val="right"/>
              <w:rPr>
                <w:sz w:val="24"/>
                <w:szCs w:val="24"/>
              </w:rPr>
            </w:pPr>
            <w:hyperlink r:id="rId71" w:history="1">
              <w:r>
                <w:rPr>
                  <w:rStyle w:val="Hyperlink"/>
                </w:rPr>
                <w:t>e</w:t>
              </w:r>
            </w:hyperlink>
          </w:p>
        </w:tc>
      </w:tr>
    </w:tbl>
    <w:p w:rsidR="00160BEB" w:rsidRDefault="00160BEB" w:rsidP="00160BEB">
      <w:pPr>
        <w:pStyle w:val="NormalWeb"/>
        <w:rPr>
          <w:lang/>
        </w:rPr>
      </w:pPr>
      <w:r>
        <w:rPr>
          <w:b/>
          <w:bCs/>
          <w:i/>
          <w:iCs/>
          <w:lang/>
        </w:rPr>
        <w:t>The Law That Never Was: The Fraud of the 16th Amendment and Personal Income Tax</w:t>
      </w:r>
      <w:r>
        <w:rPr>
          <w:lang/>
        </w:rPr>
        <w:t xml:space="preserve"> is a 1985 book by William J. Benson and Martin J. "Red" Beckman which claims that the </w:t>
      </w:r>
      <w:hyperlink r:id="rId72" w:tooltip="Sixteenth Amendment to the United States Constitution" w:history="1">
        <w:r>
          <w:rPr>
            <w:rStyle w:val="Hyperlink"/>
            <w:lang/>
          </w:rPr>
          <w:t>Sixteenth Amendment to the United States Constitution</w:t>
        </w:r>
      </w:hyperlink>
      <w:r>
        <w:rPr>
          <w:lang/>
        </w:rPr>
        <w:t xml:space="preserve">, commonly known as the </w:t>
      </w:r>
      <w:hyperlink r:id="rId73" w:tooltip="Income tax in the United States" w:history="1">
        <w:r>
          <w:rPr>
            <w:rStyle w:val="Hyperlink"/>
            <w:lang/>
          </w:rPr>
          <w:t>income tax</w:t>
        </w:r>
      </w:hyperlink>
      <w:r>
        <w:rPr>
          <w:lang/>
        </w:rPr>
        <w:t xml:space="preserve"> amendment, was never properly </w:t>
      </w:r>
      <w:hyperlink r:id="rId74" w:tooltip="Ratification" w:history="1">
        <w:r>
          <w:rPr>
            <w:rStyle w:val="Hyperlink"/>
            <w:lang/>
          </w:rPr>
          <w:t>ratified</w:t>
        </w:r>
      </w:hyperlink>
      <w:r>
        <w:rPr>
          <w:lang/>
        </w:rPr>
        <w:t xml:space="preserve">. In 2007, and again in 2009, Benson's contentions </w:t>
      </w:r>
      <w:hyperlink r:id="rId75" w:anchor="Benson.27s_non-ratification_argument_ruled_fraudulent" w:history="1">
        <w:r>
          <w:rPr>
            <w:rStyle w:val="Hyperlink"/>
            <w:lang/>
          </w:rPr>
          <w:t>were ruled to be fraudulent</w:t>
        </w:r>
      </w:hyperlink>
      <w:r>
        <w:rPr>
          <w:lang/>
        </w:rPr>
        <w:t>.</w:t>
      </w:r>
    </w:p>
    <w:p w:rsidR="00160BEB" w:rsidRDefault="00160BEB" w:rsidP="00160BEB">
      <w:pPr>
        <w:pStyle w:val="Heading2"/>
        <w:rPr>
          <w:lang/>
        </w:rPr>
      </w:pPr>
      <w:r>
        <w:rPr>
          <w:lang/>
        </w:rPr>
        <w:t>Contents</w:t>
      </w:r>
    </w:p>
    <w:p w:rsidR="00160BEB" w:rsidRDefault="00160BEB" w:rsidP="00160BEB">
      <w:pPr>
        <w:numPr>
          <w:ilvl w:val="0"/>
          <w:numId w:val="31"/>
        </w:numPr>
        <w:spacing w:before="100" w:beforeAutospacing="1" w:after="100" w:afterAutospacing="1" w:line="240" w:lineRule="auto"/>
        <w:rPr>
          <w:lang/>
        </w:rPr>
      </w:pPr>
      <w:hyperlink r:id="rId76" w:anchor="Background" w:history="1">
        <w:r>
          <w:rPr>
            <w:rStyle w:val="tocnumber"/>
            <w:color w:val="0000FF"/>
            <w:u w:val="single"/>
            <w:lang/>
          </w:rPr>
          <w:t>1</w:t>
        </w:r>
        <w:r>
          <w:rPr>
            <w:rStyle w:val="Hyperlink"/>
            <w:lang/>
          </w:rPr>
          <w:t xml:space="preserve"> </w:t>
        </w:r>
        <w:r>
          <w:rPr>
            <w:rStyle w:val="toctext"/>
            <w:color w:val="0000FF"/>
            <w:u w:val="single"/>
            <w:lang/>
          </w:rPr>
          <w:t>Background</w:t>
        </w:r>
      </w:hyperlink>
    </w:p>
    <w:p w:rsidR="00160BEB" w:rsidRDefault="00160BEB" w:rsidP="00160BEB">
      <w:pPr>
        <w:numPr>
          <w:ilvl w:val="0"/>
          <w:numId w:val="31"/>
        </w:numPr>
        <w:spacing w:before="100" w:beforeAutospacing="1" w:after="100" w:afterAutospacing="1" w:line="240" w:lineRule="auto"/>
        <w:rPr>
          <w:lang/>
        </w:rPr>
      </w:pPr>
      <w:hyperlink r:id="rId77" w:anchor="Contentions" w:history="1">
        <w:r>
          <w:rPr>
            <w:rStyle w:val="tocnumber"/>
            <w:color w:val="0000FF"/>
            <w:u w:val="single"/>
            <w:lang/>
          </w:rPr>
          <w:t>2</w:t>
        </w:r>
        <w:r>
          <w:rPr>
            <w:rStyle w:val="Hyperlink"/>
            <w:lang/>
          </w:rPr>
          <w:t xml:space="preserve"> </w:t>
        </w:r>
        <w:r>
          <w:rPr>
            <w:rStyle w:val="toctext"/>
            <w:color w:val="0000FF"/>
            <w:u w:val="single"/>
            <w:lang/>
          </w:rPr>
          <w:t>Contentions</w:t>
        </w:r>
      </w:hyperlink>
    </w:p>
    <w:p w:rsidR="00160BEB" w:rsidRDefault="00160BEB" w:rsidP="00160BEB">
      <w:pPr>
        <w:numPr>
          <w:ilvl w:val="0"/>
          <w:numId w:val="31"/>
        </w:numPr>
        <w:spacing w:before="100" w:beforeAutospacing="1" w:after="100" w:afterAutospacing="1" w:line="240" w:lineRule="auto"/>
        <w:rPr>
          <w:lang/>
        </w:rPr>
      </w:pPr>
      <w:hyperlink r:id="rId78" w:anchor="Legal_status_of_Benson.27s_claims" w:history="1">
        <w:r>
          <w:rPr>
            <w:rStyle w:val="tocnumber"/>
            <w:color w:val="0000FF"/>
            <w:u w:val="single"/>
            <w:lang/>
          </w:rPr>
          <w:t>3</w:t>
        </w:r>
        <w:r>
          <w:rPr>
            <w:rStyle w:val="Hyperlink"/>
            <w:lang/>
          </w:rPr>
          <w:t xml:space="preserve"> </w:t>
        </w:r>
        <w:r>
          <w:rPr>
            <w:rStyle w:val="toctext"/>
            <w:color w:val="0000FF"/>
            <w:u w:val="single"/>
            <w:lang/>
          </w:rPr>
          <w:t>Legal status of Benson's claims</w:t>
        </w:r>
      </w:hyperlink>
    </w:p>
    <w:p w:rsidR="00160BEB" w:rsidRDefault="00160BEB" w:rsidP="00160BEB">
      <w:pPr>
        <w:numPr>
          <w:ilvl w:val="0"/>
          <w:numId w:val="31"/>
        </w:numPr>
        <w:spacing w:before="100" w:beforeAutospacing="1" w:after="100" w:afterAutospacing="1" w:line="240" w:lineRule="auto"/>
        <w:rPr>
          <w:lang/>
        </w:rPr>
      </w:pPr>
      <w:hyperlink r:id="rId79" w:anchor="Benson.27s_federal_income_tax_problems" w:history="1">
        <w:r>
          <w:rPr>
            <w:rStyle w:val="tocnumber"/>
            <w:color w:val="0000FF"/>
            <w:u w:val="single"/>
            <w:lang/>
          </w:rPr>
          <w:t>4</w:t>
        </w:r>
        <w:r>
          <w:rPr>
            <w:rStyle w:val="Hyperlink"/>
            <w:lang/>
          </w:rPr>
          <w:t xml:space="preserve"> </w:t>
        </w:r>
        <w:r>
          <w:rPr>
            <w:rStyle w:val="toctext"/>
            <w:color w:val="0000FF"/>
            <w:u w:val="single"/>
            <w:lang/>
          </w:rPr>
          <w:t>Benson's federal income tax problems</w:t>
        </w:r>
      </w:hyperlink>
    </w:p>
    <w:p w:rsidR="00160BEB" w:rsidRDefault="00160BEB" w:rsidP="00160BEB">
      <w:pPr>
        <w:numPr>
          <w:ilvl w:val="0"/>
          <w:numId w:val="31"/>
        </w:numPr>
        <w:spacing w:before="100" w:beforeAutospacing="1" w:after="100" w:afterAutospacing="1" w:line="240" w:lineRule="auto"/>
        <w:rPr>
          <w:lang/>
        </w:rPr>
      </w:pPr>
      <w:hyperlink r:id="rId80" w:anchor="Benson.27s_non-ratification_argument_ruled_fraudulent" w:history="1">
        <w:r>
          <w:rPr>
            <w:rStyle w:val="tocnumber"/>
            <w:color w:val="0000FF"/>
            <w:u w:val="single"/>
            <w:lang/>
          </w:rPr>
          <w:t>5</w:t>
        </w:r>
        <w:r>
          <w:rPr>
            <w:rStyle w:val="Hyperlink"/>
            <w:lang/>
          </w:rPr>
          <w:t xml:space="preserve"> </w:t>
        </w:r>
        <w:r>
          <w:rPr>
            <w:rStyle w:val="toctext"/>
            <w:color w:val="0000FF"/>
            <w:u w:val="single"/>
            <w:lang/>
          </w:rPr>
          <w:t>Benson's non-ratification argument ruled fraudulent</w:t>
        </w:r>
      </w:hyperlink>
    </w:p>
    <w:p w:rsidR="00160BEB" w:rsidRDefault="00160BEB" w:rsidP="00160BEB">
      <w:pPr>
        <w:numPr>
          <w:ilvl w:val="0"/>
          <w:numId w:val="31"/>
        </w:numPr>
        <w:spacing w:before="100" w:beforeAutospacing="1" w:after="100" w:afterAutospacing="1" w:line="240" w:lineRule="auto"/>
        <w:rPr>
          <w:lang/>
        </w:rPr>
      </w:pPr>
      <w:hyperlink r:id="rId81" w:anchor="Followers_of_Benson" w:history="1">
        <w:r>
          <w:rPr>
            <w:rStyle w:val="tocnumber"/>
            <w:color w:val="0000FF"/>
            <w:u w:val="single"/>
            <w:lang/>
          </w:rPr>
          <w:t>6</w:t>
        </w:r>
        <w:r>
          <w:rPr>
            <w:rStyle w:val="Hyperlink"/>
            <w:lang/>
          </w:rPr>
          <w:t xml:space="preserve"> </w:t>
        </w:r>
        <w:r>
          <w:rPr>
            <w:rStyle w:val="toctext"/>
            <w:color w:val="0000FF"/>
            <w:u w:val="single"/>
            <w:lang/>
          </w:rPr>
          <w:t>Followers of Benson</w:t>
        </w:r>
      </w:hyperlink>
    </w:p>
    <w:p w:rsidR="00160BEB" w:rsidRDefault="00160BEB" w:rsidP="00160BEB">
      <w:pPr>
        <w:numPr>
          <w:ilvl w:val="0"/>
          <w:numId w:val="31"/>
        </w:numPr>
        <w:spacing w:before="100" w:beforeAutospacing="1" w:after="100" w:afterAutospacing="1" w:line="240" w:lineRule="auto"/>
        <w:rPr>
          <w:lang/>
        </w:rPr>
      </w:pPr>
      <w:hyperlink r:id="rId82" w:anchor="See_also" w:history="1">
        <w:r>
          <w:rPr>
            <w:rStyle w:val="tocnumber"/>
            <w:color w:val="0000FF"/>
            <w:u w:val="single"/>
            <w:lang/>
          </w:rPr>
          <w:t>7</w:t>
        </w:r>
        <w:r>
          <w:rPr>
            <w:rStyle w:val="Hyperlink"/>
            <w:lang/>
          </w:rPr>
          <w:t xml:space="preserve"> </w:t>
        </w:r>
        <w:r>
          <w:rPr>
            <w:rStyle w:val="toctext"/>
            <w:color w:val="0000FF"/>
            <w:u w:val="single"/>
            <w:lang/>
          </w:rPr>
          <w:t>See also</w:t>
        </w:r>
      </w:hyperlink>
    </w:p>
    <w:p w:rsidR="00160BEB" w:rsidRDefault="00160BEB" w:rsidP="00160BEB">
      <w:pPr>
        <w:numPr>
          <w:ilvl w:val="0"/>
          <w:numId w:val="31"/>
        </w:numPr>
        <w:spacing w:before="100" w:beforeAutospacing="1" w:after="100" w:afterAutospacing="1" w:line="240" w:lineRule="auto"/>
        <w:rPr>
          <w:lang/>
        </w:rPr>
      </w:pPr>
      <w:hyperlink r:id="rId83" w:anchor="Notes" w:history="1">
        <w:r>
          <w:rPr>
            <w:rStyle w:val="tocnumber"/>
            <w:color w:val="0000FF"/>
            <w:u w:val="single"/>
            <w:lang/>
          </w:rPr>
          <w:t>8</w:t>
        </w:r>
        <w:r>
          <w:rPr>
            <w:rStyle w:val="Hyperlink"/>
            <w:lang/>
          </w:rPr>
          <w:t xml:space="preserve"> </w:t>
        </w:r>
        <w:r>
          <w:rPr>
            <w:rStyle w:val="toctext"/>
            <w:color w:val="0000FF"/>
            <w:u w:val="single"/>
            <w:lang/>
          </w:rPr>
          <w:t>Notes</w:t>
        </w:r>
      </w:hyperlink>
    </w:p>
    <w:p w:rsidR="00160BEB" w:rsidRDefault="00160BEB" w:rsidP="00160BEB">
      <w:pPr>
        <w:numPr>
          <w:ilvl w:val="0"/>
          <w:numId w:val="31"/>
        </w:numPr>
        <w:spacing w:before="100" w:beforeAutospacing="1" w:after="100" w:afterAutospacing="1" w:line="240" w:lineRule="auto"/>
        <w:rPr>
          <w:lang/>
        </w:rPr>
      </w:pPr>
      <w:hyperlink r:id="rId84" w:anchor="References" w:history="1">
        <w:r>
          <w:rPr>
            <w:rStyle w:val="tocnumber"/>
            <w:color w:val="0000FF"/>
            <w:u w:val="single"/>
            <w:lang/>
          </w:rPr>
          <w:t>9</w:t>
        </w:r>
        <w:r>
          <w:rPr>
            <w:rStyle w:val="Hyperlink"/>
            <w:lang/>
          </w:rPr>
          <w:t xml:space="preserve"> </w:t>
        </w:r>
        <w:r>
          <w:rPr>
            <w:rStyle w:val="toctext"/>
            <w:color w:val="0000FF"/>
            <w:u w:val="single"/>
            <w:lang/>
          </w:rPr>
          <w:t>References</w:t>
        </w:r>
      </w:hyperlink>
    </w:p>
    <w:p w:rsidR="00160BEB" w:rsidRDefault="00160BEB" w:rsidP="00160BEB">
      <w:pPr>
        <w:numPr>
          <w:ilvl w:val="0"/>
          <w:numId w:val="31"/>
        </w:numPr>
        <w:spacing w:before="100" w:beforeAutospacing="1" w:after="100" w:afterAutospacing="1" w:line="240" w:lineRule="auto"/>
        <w:rPr>
          <w:lang/>
        </w:rPr>
      </w:pPr>
      <w:hyperlink r:id="rId85" w:anchor="External_links" w:history="1">
        <w:r>
          <w:rPr>
            <w:rStyle w:val="tocnumber"/>
            <w:color w:val="0000FF"/>
            <w:u w:val="single"/>
            <w:lang/>
          </w:rPr>
          <w:t>10</w:t>
        </w:r>
        <w:r>
          <w:rPr>
            <w:rStyle w:val="Hyperlink"/>
            <w:lang/>
          </w:rPr>
          <w:t xml:space="preserve"> </w:t>
        </w:r>
        <w:r>
          <w:rPr>
            <w:rStyle w:val="toctext"/>
            <w:color w:val="0000FF"/>
            <w:u w:val="single"/>
            <w:lang/>
          </w:rPr>
          <w:t>External links</w:t>
        </w:r>
      </w:hyperlink>
    </w:p>
    <w:p w:rsidR="00160BEB" w:rsidRDefault="00160BEB" w:rsidP="00160BEB">
      <w:pPr>
        <w:pStyle w:val="Heading2"/>
        <w:rPr>
          <w:lang/>
        </w:rPr>
      </w:pPr>
      <w:r>
        <w:rPr>
          <w:rStyle w:val="mw-headline"/>
          <w:lang/>
        </w:rPr>
        <w:t>Background</w:t>
      </w:r>
    </w:p>
    <w:p w:rsidR="00160BEB" w:rsidRDefault="00160BEB" w:rsidP="00160BEB">
      <w:pPr>
        <w:pStyle w:val="NormalWeb"/>
        <w:rPr>
          <w:lang/>
        </w:rPr>
      </w:pPr>
      <w:r>
        <w:rPr>
          <w:lang/>
        </w:rPr>
        <w:t xml:space="preserve">Under </w:t>
      </w:r>
      <w:hyperlink r:id="rId86" w:tooltip="Article Five of the United States Constitution" w:history="1">
        <w:r>
          <w:rPr>
            <w:rStyle w:val="Hyperlink"/>
            <w:lang/>
          </w:rPr>
          <w:t>Article V</w:t>
        </w:r>
      </w:hyperlink>
      <w:r>
        <w:rPr>
          <w:lang/>
        </w:rPr>
        <w:t xml:space="preserve"> of the </w:t>
      </w:r>
      <w:hyperlink r:id="rId87" w:tooltip="United States" w:history="1">
        <w:r>
          <w:rPr>
            <w:rStyle w:val="Hyperlink"/>
            <w:lang/>
          </w:rPr>
          <w:t>U.S. Constitution</w:t>
        </w:r>
      </w:hyperlink>
      <w:r>
        <w:rPr>
          <w:lang/>
        </w:rPr>
        <w:t xml:space="preserve">, an amendment proposed by </w:t>
      </w:r>
      <w:hyperlink r:id="rId88" w:tooltip="United States Congress" w:history="1">
        <w:r>
          <w:rPr>
            <w:rStyle w:val="Hyperlink"/>
            <w:lang/>
          </w:rPr>
          <w:t>Congress</w:t>
        </w:r>
      </w:hyperlink>
      <w:r>
        <w:rPr>
          <w:lang/>
        </w:rPr>
        <w:t xml:space="preserve"> must be ratified by three-fourths of the </w:t>
      </w:r>
      <w:hyperlink r:id="rId89" w:tooltip="U.S. state" w:history="1">
        <w:r>
          <w:rPr>
            <w:rStyle w:val="Hyperlink"/>
            <w:lang/>
          </w:rPr>
          <w:t>states</w:t>
        </w:r>
      </w:hyperlink>
      <w:r>
        <w:rPr>
          <w:lang/>
        </w:rPr>
        <w:t xml:space="preserve"> to become part of the Constitution. The Article permits Congress to specify, for each amendment, whether the ratification must be by each state's </w:t>
      </w:r>
      <w:hyperlink r:id="rId90" w:tooltip="State legislature (United States)" w:history="1">
        <w:r>
          <w:rPr>
            <w:rStyle w:val="Hyperlink"/>
            <w:lang/>
          </w:rPr>
          <w:t>legislature</w:t>
        </w:r>
      </w:hyperlink>
      <w:r>
        <w:rPr>
          <w:lang/>
        </w:rPr>
        <w:t xml:space="preserve"> or by a </w:t>
      </w:r>
      <w:hyperlink r:id="rId91" w:tooltip="Constitutional convention (political meeting)" w:history="1">
        <w:r>
          <w:rPr>
            <w:rStyle w:val="Hyperlink"/>
            <w:lang/>
          </w:rPr>
          <w:t>constitutional convention</w:t>
        </w:r>
      </w:hyperlink>
      <w:r>
        <w:rPr>
          <w:lang/>
        </w:rPr>
        <w:t xml:space="preserve"> in each state; for the Sixteenth Amendment, Congress specified ratification by the legislatures. There were 48 states in the Union in 1913 — the year when the Sixteenth Amendment was finally ratified — which meant that the Amendment required ratification by the legislatures of 36 states to become effective. In February 1913, </w:t>
      </w:r>
      <w:hyperlink r:id="rId92" w:tooltip="United States Secretary of State" w:history="1">
        <w:r>
          <w:rPr>
            <w:rStyle w:val="Hyperlink"/>
            <w:lang/>
          </w:rPr>
          <w:t>Secretary of State</w:t>
        </w:r>
      </w:hyperlink>
      <w:r>
        <w:rPr>
          <w:lang/>
        </w:rPr>
        <w:t xml:space="preserve"> </w:t>
      </w:r>
      <w:hyperlink r:id="rId93" w:tooltip="Philander C. Knox" w:history="1">
        <w:r>
          <w:rPr>
            <w:rStyle w:val="Hyperlink"/>
            <w:lang/>
          </w:rPr>
          <w:t>Philander C. Knox</w:t>
        </w:r>
      </w:hyperlink>
      <w:r>
        <w:rPr>
          <w:lang/>
        </w:rPr>
        <w:t xml:space="preserve"> issued a proclamation that 38 states had ratified the amendment. (According to Congressional analysis, a total of 42 states had ratified the amendment as of 1992.)</w:t>
      </w:r>
      <w:hyperlink r:id="rId94" w:anchor="cite_note-1" w:history="1">
        <w:r>
          <w:rPr>
            <w:rStyle w:val="Hyperlink"/>
            <w:vertAlign w:val="superscript"/>
            <w:lang/>
          </w:rPr>
          <w:t>[1]</w:t>
        </w:r>
      </w:hyperlink>
    </w:p>
    <w:p w:rsidR="00160BEB" w:rsidRDefault="00160BEB" w:rsidP="00160BEB">
      <w:pPr>
        <w:pStyle w:val="Heading2"/>
        <w:rPr>
          <w:lang/>
        </w:rPr>
      </w:pPr>
      <w:r>
        <w:rPr>
          <w:rStyle w:val="mw-headline"/>
          <w:lang/>
        </w:rPr>
        <w:t>Contentions</w:t>
      </w:r>
    </w:p>
    <w:p w:rsidR="00160BEB" w:rsidRDefault="00160BEB" w:rsidP="00160BEB">
      <w:pPr>
        <w:pStyle w:val="NormalWeb"/>
        <w:rPr>
          <w:lang/>
        </w:rPr>
      </w:pPr>
      <w:r>
        <w:rPr>
          <w:lang/>
        </w:rPr>
        <w:t xml:space="preserve">Prior to Benson, the "non-ratification" argument was presented in a court of law by James Walter Scott in the 1975 case of </w:t>
      </w:r>
      <w:r>
        <w:rPr>
          <w:i/>
          <w:iCs/>
          <w:lang/>
        </w:rPr>
        <w:t>United States v. Scott</w:t>
      </w:r>
      <w:r>
        <w:rPr>
          <w:lang/>
        </w:rPr>
        <w:t xml:space="preserve">, some sixty-two years after the ratification. Scott's argument was to no avail; he was convicted of willful failure to file federal income tax returns for the years 1969 through 1972, and the conviction was upheld by the </w:t>
      </w:r>
      <w:hyperlink r:id="rId95" w:tooltip="United States Court of Appeals for the Ninth Circuit" w:history="1">
        <w:r>
          <w:rPr>
            <w:rStyle w:val="Hyperlink"/>
            <w:lang/>
          </w:rPr>
          <w:t>United States Court of Appeals for the Ninth Circuit</w:t>
        </w:r>
      </w:hyperlink>
      <w:r>
        <w:rPr>
          <w:lang/>
        </w:rPr>
        <w:t>.</w:t>
      </w:r>
      <w:hyperlink r:id="rId96" w:anchor="cite_note-2" w:history="1">
        <w:r>
          <w:rPr>
            <w:rStyle w:val="Hyperlink"/>
            <w:vertAlign w:val="superscript"/>
            <w:lang/>
          </w:rPr>
          <w:t>[2]</w:t>
        </w:r>
      </w:hyperlink>
      <w:r>
        <w:rPr>
          <w:lang/>
        </w:rPr>
        <w:t xml:space="preserve"> In a 1977 case involving a tax protester named Bob </w:t>
      </w:r>
      <w:proofErr w:type="spellStart"/>
      <w:r>
        <w:rPr>
          <w:lang/>
        </w:rPr>
        <w:t>Tammen</w:t>
      </w:r>
      <w:proofErr w:type="spellEnd"/>
      <w:r>
        <w:rPr>
          <w:lang/>
        </w:rPr>
        <w:t xml:space="preserve">, a U.S. District Court noted that </w:t>
      </w:r>
      <w:proofErr w:type="spellStart"/>
      <w:r>
        <w:rPr>
          <w:lang/>
        </w:rPr>
        <w:t>Tammen</w:t>
      </w:r>
      <w:proofErr w:type="spellEnd"/>
      <w:r>
        <w:rPr>
          <w:lang/>
        </w:rPr>
        <w:t xml:space="preserve"> was involved with a group called "United Tax Action Patriots," which took the position "that the Sixteenth Amendment was improperly passed and therefore invalid...." However, the specific issue of the validity of the ratification was neither presented to nor decided by the court.</w:t>
      </w:r>
      <w:hyperlink r:id="rId97" w:anchor="cite_note-3" w:history="1">
        <w:r>
          <w:rPr>
            <w:rStyle w:val="Hyperlink"/>
            <w:vertAlign w:val="superscript"/>
            <w:lang/>
          </w:rPr>
          <w:t>[3]</w:t>
        </w:r>
      </w:hyperlink>
    </w:p>
    <w:p w:rsidR="00160BEB" w:rsidRDefault="00160BEB" w:rsidP="00160BEB">
      <w:pPr>
        <w:pStyle w:val="NormalWeb"/>
        <w:rPr>
          <w:lang/>
        </w:rPr>
      </w:pPr>
      <w:r>
        <w:rPr>
          <w:lang/>
        </w:rPr>
        <w:t xml:space="preserve">William Benson's book relates how, in 1984, nine years after the Scott case and seventy-one years after the ratification was proclaimed, Benson began a research project to investigate the ratification process by traveling to the </w:t>
      </w:r>
      <w:hyperlink r:id="rId98" w:tooltip="National Archives" w:history="1">
        <w:r>
          <w:rPr>
            <w:rStyle w:val="Hyperlink"/>
            <w:lang/>
          </w:rPr>
          <w:t>National Archives</w:t>
        </w:r>
      </w:hyperlink>
      <w:r>
        <w:rPr>
          <w:lang/>
        </w:rPr>
        <w:t xml:space="preserve"> and the </w:t>
      </w:r>
      <w:hyperlink r:id="rId99" w:tooltip="List of state capitols in the United States" w:history="1">
        <w:r>
          <w:rPr>
            <w:rStyle w:val="Hyperlink"/>
            <w:lang/>
          </w:rPr>
          <w:t>capitols</w:t>
        </w:r>
      </w:hyperlink>
      <w:r>
        <w:rPr>
          <w:lang/>
        </w:rPr>
        <w:t xml:space="preserve"> of various </w:t>
      </w:r>
      <w:hyperlink r:id="rId100" w:tooltip="New England" w:history="1">
        <w:r>
          <w:rPr>
            <w:rStyle w:val="Hyperlink"/>
            <w:lang/>
          </w:rPr>
          <w:t>New England</w:t>
        </w:r>
      </w:hyperlink>
      <w:r>
        <w:rPr>
          <w:lang/>
        </w:rPr>
        <w:t xml:space="preserve"> states to review documents relating to the ratification of the Amendment.</w:t>
      </w:r>
    </w:p>
    <w:p w:rsidR="00160BEB" w:rsidRDefault="00160BEB" w:rsidP="00160BEB">
      <w:pPr>
        <w:pStyle w:val="NormalWeb"/>
        <w:rPr>
          <w:lang/>
        </w:rPr>
      </w:pPr>
      <w:r>
        <w:rPr>
          <w:lang/>
        </w:rPr>
        <w:t xml:space="preserve">Benson found variations in wording, punctuation, capitalization, and </w:t>
      </w:r>
      <w:proofErr w:type="spellStart"/>
      <w:r>
        <w:rPr>
          <w:lang/>
        </w:rPr>
        <w:t>pluralization</w:t>
      </w:r>
      <w:proofErr w:type="spellEnd"/>
      <w:r>
        <w:rPr>
          <w:lang/>
        </w:rPr>
        <w:t xml:space="preserve"> in the language of the Amendment as ratified by many states. He used the changes as part of the basis for his contention that those states had not properly ratified the Amendment. Benson further claimed to have found documents suggesting that some states that had been certified as having ratified the Amendment never voted to ratify it, or voted against ratification. Benson claimed that no states, or only a few states (variously reported as two states or four states), had properly ratified the Amendment.</w:t>
      </w:r>
    </w:p>
    <w:p w:rsidR="00160BEB" w:rsidRDefault="00160BEB" w:rsidP="00160BEB">
      <w:pPr>
        <w:pStyle w:val="NormalWeb"/>
        <w:rPr>
          <w:lang/>
        </w:rPr>
      </w:pPr>
      <w:r>
        <w:rPr>
          <w:lang/>
        </w:rPr>
        <w:t>In his book, Benson made the following claims:</w:t>
      </w:r>
    </w:p>
    <w:p w:rsidR="00160BEB" w:rsidRDefault="00160BEB" w:rsidP="00160BEB">
      <w:pPr>
        <w:numPr>
          <w:ilvl w:val="0"/>
          <w:numId w:val="32"/>
        </w:numPr>
        <w:spacing w:before="100" w:beforeAutospacing="1" w:after="100" w:afterAutospacing="1" w:line="240" w:lineRule="auto"/>
        <w:rPr>
          <w:lang/>
        </w:rPr>
      </w:pPr>
      <w:r>
        <w:rPr>
          <w:lang/>
        </w:rPr>
        <w:t>Seven states (Connecticut, Florida, Oregon, Pennsylvania, Rhode Island, Utah, Virginia) did not ratify the amendment, and it was reported as such.</w:t>
      </w:r>
    </w:p>
    <w:p w:rsidR="00160BEB" w:rsidRDefault="00160BEB" w:rsidP="00160BEB">
      <w:pPr>
        <w:numPr>
          <w:ilvl w:val="0"/>
          <w:numId w:val="33"/>
        </w:numPr>
        <w:spacing w:before="100" w:beforeAutospacing="1" w:after="100" w:afterAutospacing="1" w:line="240" w:lineRule="auto"/>
        <w:rPr>
          <w:lang/>
        </w:rPr>
      </w:pPr>
      <w:r>
        <w:rPr>
          <w:lang/>
        </w:rPr>
        <w:t>Two states (Kentucky and Tennessee) did not ratify the amendment, but Secretary Knox reported that they did.</w:t>
      </w:r>
    </w:p>
    <w:p w:rsidR="00160BEB" w:rsidRDefault="00160BEB" w:rsidP="00160BEB">
      <w:pPr>
        <w:numPr>
          <w:ilvl w:val="0"/>
          <w:numId w:val="34"/>
        </w:numPr>
        <w:spacing w:before="100" w:beforeAutospacing="1" w:after="100" w:afterAutospacing="1" w:line="240" w:lineRule="auto"/>
        <w:rPr>
          <w:lang/>
        </w:rPr>
      </w:pPr>
      <w:r>
        <w:rPr>
          <w:lang/>
        </w:rPr>
        <w:t>Eight states (Delaware, Michigan, Nevada, New Hampshire, South Dakota, Tennessee, Vermont and Wyoming) were reported by Secretary Knox as having ratified the amendment, but the States actually have missing or incomplete records of the ratification procedures or votes, and there is no conclusive record that they ratified the amendment or reported any ratification to the Secretary of State.</w:t>
      </w:r>
    </w:p>
    <w:p w:rsidR="00160BEB" w:rsidRDefault="00160BEB" w:rsidP="00160BEB">
      <w:pPr>
        <w:numPr>
          <w:ilvl w:val="0"/>
          <w:numId w:val="35"/>
        </w:numPr>
        <w:spacing w:before="100" w:beforeAutospacing="1" w:after="100" w:afterAutospacing="1" w:line="240" w:lineRule="auto"/>
        <w:rPr>
          <w:lang/>
        </w:rPr>
      </w:pPr>
      <w:r>
        <w:rPr>
          <w:lang/>
        </w:rPr>
        <w:t>Six states (Idaho, Iowa, Kentucky, Minnesota, Missouri, Washington) did approve the amendment, but the Governor or another official who was required by their respective state constitutions to sign the legislation into law did not sign the legislation.</w:t>
      </w:r>
    </w:p>
    <w:p w:rsidR="00160BEB" w:rsidRDefault="00160BEB" w:rsidP="00160BEB">
      <w:pPr>
        <w:numPr>
          <w:ilvl w:val="0"/>
          <w:numId w:val="36"/>
        </w:numPr>
        <w:spacing w:before="100" w:beforeAutospacing="1" w:after="100" w:afterAutospacing="1" w:line="240" w:lineRule="auto"/>
        <w:rPr>
          <w:lang/>
        </w:rPr>
      </w:pPr>
      <w:r>
        <w:rPr>
          <w:lang/>
        </w:rPr>
        <w:t>In twenty-five states (Arizona, Arkansas, California, Colorado, Georgia, Idaho, Illinois, Kansas, Kentucky, Louisiana, Maryland, Massachusetts, Michigan, Mississippi, Missouri, Montana, New Jersey, New Mexico, North Dakota, Tennessee, Texas, Vermont, Washington, West Virginia and Wyoming), the legislature violated a provision of its state constitution during the ratification process.</w:t>
      </w:r>
    </w:p>
    <w:p w:rsidR="00160BEB" w:rsidRDefault="00160BEB" w:rsidP="00160BEB">
      <w:pPr>
        <w:numPr>
          <w:ilvl w:val="0"/>
          <w:numId w:val="37"/>
        </w:numPr>
        <w:spacing w:before="100" w:beforeAutospacing="1" w:after="100" w:afterAutospacing="1" w:line="240" w:lineRule="auto"/>
        <w:rPr>
          <w:lang/>
        </w:rPr>
      </w:pPr>
      <w:r>
        <w:rPr>
          <w:lang/>
        </w:rPr>
        <w:t>Twenty-nine states (Arizona, Arkansas, California, Colorado, Georgia, Idaho, Indiana, Iowa, Kentucky, Louisiana, Maryland, Massachusetts, Minnesota, Mississippi, Missouri, Montana, Nebraska, New Jersey, New Mexico, New York, Ohio, Oklahoma, South Carolina, South Dakota, Tennessee, Texas, Vermont, West Virginia and Wyoming) violated "state law" or procedural rules during the ratification process.</w:t>
      </w:r>
    </w:p>
    <w:p w:rsidR="00160BEB" w:rsidRDefault="00160BEB" w:rsidP="00160BEB">
      <w:pPr>
        <w:pStyle w:val="NormalWeb"/>
        <w:rPr>
          <w:lang/>
        </w:rPr>
      </w:pPr>
      <w:r>
        <w:rPr>
          <w:lang/>
        </w:rPr>
        <w:t>Additionally, Benson asserted that:</w:t>
      </w:r>
    </w:p>
    <w:p w:rsidR="00160BEB" w:rsidRDefault="00160BEB" w:rsidP="00160BEB">
      <w:pPr>
        <w:numPr>
          <w:ilvl w:val="0"/>
          <w:numId w:val="38"/>
        </w:numPr>
        <w:spacing w:before="100" w:beforeAutospacing="1" w:after="100" w:afterAutospacing="1" w:line="240" w:lineRule="auto"/>
        <w:rPr>
          <w:lang/>
        </w:rPr>
      </w:pPr>
      <w:r>
        <w:rPr>
          <w:lang/>
        </w:rPr>
        <w:t>Twenty-two states approved the amendment, but with changes in wording, and the inexact version was accepted as a ratification of the original version.</w:t>
      </w:r>
    </w:p>
    <w:p w:rsidR="00160BEB" w:rsidRDefault="00160BEB" w:rsidP="00160BEB">
      <w:pPr>
        <w:numPr>
          <w:ilvl w:val="0"/>
          <w:numId w:val="39"/>
        </w:numPr>
        <w:spacing w:before="100" w:beforeAutospacing="1" w:after="100" w:afterAutospacing="1" w:line="240" w:lineRule="auto"/>
        <w:rPr>
          <w:lang/>
        </w:rPr>
      </w:pPr>
      <w:r>
        <w:rPr>
          <w:lang/>
        </w:rPr>
        <w:t>One state approved the amendment, but with variations in spelling, and the inexact version was accepted as a ratification of the original version.</w:t>
      </w:r>
    </w:p>
    <w:p w:rsidR="00160BEB" w:rsidRDefault="00160BEB" w:rsidP="00160BEB">
      <w:pPr>
        <w:numPr>
          <w:ilvl w:val="0"/>
          <w:numId w:val="40"/>
        </w:numPr>
        <w:spacing w:before="100" w:beforeAutospacing="1" w:after="100" w:afterAutospacing="1" w:line="240" w:lineRule="auto"/>
        <w:rPr>
          <w:lang/>
        </w:rPr>
      </w:pPr>
      <w:r>
        <w:rPr>
          <w:lang/>
        </w:rPr>
        <w:t>At least twenty-six states approved the amendment, but with changes in punctuation, and the inexact version was accepted as a ratification of the original version.</w:t>
      </w:r>
    </w:p>
    <w:p w:rsidR="00160BEB" w:rsidRDefault="00160BEB" w:rsidP="00160BEB">
      <w:pPr>
        <w:pStyle w:val="NormalWeb"/>
        <w:rPr>
          <w:lang/>
        </w:rPr>
      </w:pPr>
      <w:r>
        <w:rPr>
          <w:lang/>
        </w:rPr>
        <w:t>Benson asserted that the Oklahoma State Legislature changed the wording of the amendment they approved so that it meant the opposite of the original amendment as it was submitted to the States by Congress, but that Secretary Knox counted Oklahoma as having approved the amendment.</w:t>
      </w:r>
    </w:p>
    <w:p w:rsidR="00160BEB" w:rsidRDefault="00160BEB" w:rsidP="00160BEB">
      <w:pPr>
        <w:pStyle w:val="NormalWeb"/>
        <w:rPr>
          <w:lang/>
        </w:rPr>
      </w:pPr>
      <w:r>
        <w:rPr>
          <w:lang/>
        </w:rPr>
        <w:t>Benson also asserted, as an example of a state’s violation of its own Constitution, laws, or procedural rules, the claim that the Tennessee State Constitution prohibited the legislature from acting on any proposed amendment to the U.S. Constitution submitted by Congress until after the next state legislative elections. According to Benson, the Tennessee legislature acted on the proposed 16th amendment the same month it was received (prior to any new state legislative elections).</w:t>
      </w:r>
    </w:p>
    <w:p w:rsidR="00160BEB" w:rsidRDefault="00160BEB" w:rsidP="00160BEB">
      <w:pPr>
        <w:pStyle w:val="Heading2"/>
        <w:rPr>
          <w:lang/>
        </w:rPr>
      </w:pPr>
      <w:r>
        <w:rPr>
          <w:rStyle w:val="mw-headline"/>
          <w:lang/>
        </w:rPr>
        <w:t>Legal status of Benson's claims</w:t>
      </w:r>
    </w:p>
    <w:p w:rsidR="00160BEB" w:rsidRDefault="00160BEB" w:rsidP="00160BEB">
      <w:pPr>
        <w:pStyle w:val="NormalWeb"/>
        <w:rPr>
          <w:lang/>
        </w:rPr>
      </w:pPr>
      <w:r>
        <w:rPr>
          <w:lang/>
        </w:rPr>
        <w:t xml:space="preserve">The Benson book was published in 1985. The earliest reported court cases where the book was mentioned appear to be </w:t>
      </w:r>
      <w:r>
        <w:rPr>
          <w:i/>
          <w:iCs/>
          <w:lang/>
        </w:rPr>
        <w:t>United States v. House</w:t>
      </w:r>
      <w:hyperlink r:id="rId101" w:anchor="cite_note-4" w:history="1">
        <w:r>
          <w:rPr>
            <w:rStyle w:val="Hyperlink"/>
            <w:vertAlign w:val="superscript"/>
            <w:lang/>
          </w:rPr>
          <w:t>[4]</w:t>
        </w:r>
      </w:hyperlink>
      <w:r>
        <w:rPr>
          <w:lang/>
        </w:rPr>
        <w:t xml:space="preserve"> and </w:t>
      </w:r>
      <w:r>
        <w:rPr>
          <w:i/>
          <w:iCs/>
          <w:lang/>
        </w:rPr>
        <w:t xml:space="preserve">United States v. </w:t>
      </w:r>
      <w:proofErr w:type="spellStart"/>
      <w:r>
        <w:rPr>
          <w:i/>
          <w:iCs/>
          <w:lang/>
        </w:rPr>
        <w:t>Wojtas</w:t>
      </w:r>
      <w:proofErr w:type="spellEnd"/>
      <w:r>
        <w:rPr>
          <w:lang/>
        </w:rPr>
        <w:t>.</w:t>
      </w:r>
      <w:hyperlink r:id="rId102" w:anchor="cite_note-5" w:history="1">
        <w:r>
          <w:rPr>
            <w:rStyle w:val="Hyperlink"/>
            <w:vertAlign w:val="superscript"/>
            <w:lang/>
          </w:rPr>
          <w:t>[5]</w:t>
        </w:r>
      </w:hyperlink>
      <w:r>
        <w:rPr>
          <w:lang/>
        </w:rPr>
        <w:t xml:space="preserve"> Benson testified unsuccessfully in the </w:t>
      </w:r>
      <w:r>
        <w:rPr>
          <w:i/>
          <w:iCs/>
          <w:lang/>
        </w:rPr>
        <w:t>House</w:t>
      </w:r>
      <w:r>
        <w:rPr>
          <w:lang/>
        </w:rPr>
        <w:t xml:space="preserve"> case. In the latter case, defendant Wayne </w:t>
      </w:r>
      <w:proofErr w:type="spellStart"/>
      <w:r>
        <w:rPr>
          <w:lang/>
        </w:rPr>
        <w:t>Wojtas</w:t>
      </w:r>
      <w:proofErr w:type="spellEnd"/>
      <w:r>
        <w:rPr>
          <w:lang/>
        </w:rPr>
        <w:t xml:space="preserve"> was unsuccessful in his attempt to use Benson's theory to have his indictment for failure to file federal tax returns dismissed. In the case the judge ruled that Benson's evidence was inadmissible, stating that:</w:t>
      </w:r>
    </w:p>
    <w:p w:rsidR="00160BEB" w:rsidRDefault="00160BEB" w:rsidP="00160BEB">
      <w:pPr>
        <w:pStyle w:val="NormalWeb"/>
        <w:rPr>
          <w:lang/>
        </w:rPr>
      </w:pPr>
      <w:r>
        <w:rPr>
          <w:lang/>
        </w:rPr>
        <w:t xml:space="preserve">[T]he few cases that have been asked to deal with issues comparable to the one now tendered to this Court have uniformly held questions as to compliance with Article V's requirements are within the sole province of Congress and not the courts—in the language that has come to characterize such issues, they are "political" (that is, </w:t>
      </w:r>
      <w:proofErr w:type="spellStart"/>
      <w:r>
        <w:rPr>
          <w:lang/>
        </w:rPr>
        <w:t>nonjusticiable</w:t>
      </w:r>
      <w:proofErr w:type="spellEnd"/>
      <w:r>
        <w:rPr>
          <w:lang/>
        </w:rPr>
        <w:t>).</w:t>
      </w:r>
    </w:p>
    <w:p w:rsidR="00160BEB" w:rsidRDefault="00160BEB" w:rsidP="00160BEB">
      <w:pPr>
        <w:pStyle w:val="NormalWeb"/>
        <w:rPr>
          <w:lang/>
        </w:rPr>
      </w:pPr>
      <w:proofErr w:type="spellStart"/>
      <w:r>
        <w:rPr>
          <w:lang/>
        </w:rPr>
        <w:t>Wojtas</w:t>
      </w:r>
      <w:proofErr w:type="spellEnd"/>
      <w:r>
        <w:rPr>
          <w:lang/>
        </w:rPr>
        <w:t xml:space="preserve"> was convicted, sentenced to prison, and released in August 1986.</w:t>
      </w:r>
      <w:hyperlink r:id="rId103" w:anchor="cite_note-6" w:history="1">
        <w:r>
          <w:rPr>
            <w:rStyle w:val="Hyperlink"/>
            <w:vertAlign w:val="superscript"/>
            <w:lang/>
          </w:rPr>
          <w:t>[6]</w:t>
        </w:r>
      </w:hyperlink>
    </w:p>
    <w:p w:rsidR="00160BEB" w:rsidRDefault="00160BEB" w:rsidP="00160BEB">
      <w:pPr>
        <w:pStyle w:val="NormalWeb"/>
        <w:rPr>
          <w:lang/>
        </w:rPr>
      </w:pPr>
      <w:r>
        <w:rPr>
          <w:lang/>
        </w:rPr>
        <w:t xml:space="preserve">Benson's claim was also rejected in </w:t>
      </w:r>
      <w:r>
        <w:rPr>
          <w:i/>
          <w:iCs/>
          <w:lang/>
        </w:rPr>
        <w:t>Miller v. United States</w:t>
      </w:r>
      <w:r>
        <w:rPr>
          <w:lang/>
        </w:rPr>
        <w:t>.</w:t>
      </w:r>
      <w:hyperlink r:id="rId104" w:anchor="cite_note-7" w:history="1">
        <w:r>
          <w:rPr>
            <w:rStyle w:val="Hyperlink"/>
            <w:vertAlign w:val="superscript"/>
            <w:lang/>
          </w:rPr>
          <w:t>[7]</w:t>
        </w:r>
      </w:hyperlink>
      <w:r>
        <w:rPr>
          <w:lang/>
        </w:rPr>
        <w:t xml:space="preserve"> The court stated, "We find it hard to understand why the long and unbroken line of cases upholding the constitutionality of the Sixteenth Amendment generally, </w:t>
      </w:r>
      <w:proofErr w:type="spellStart"/>
      <w:r>
        <w:rPr>
          <w:i/>
          <w:iCs/>
          <w:lang/>
        </w:rPr>
        <w:t>Brushaber</w:t>
      </w:r>
      <w:proofErr w:type="spellEnd"/>
      <w:r>
        <w:rPr>
          <w:i/>
          <w:iCs/>
          <w:lang/>
        </w:rPr>
        <w:t xml:space="preserve"> v. Union Pacific Railroad Company</w:t>
      </w:r>
      <w:r>
        <w:rPr>
          <w:lang/>
        </w:rPr>
        <w:t xml:space="preserve"> ... and those specifically rejecting the argument advanced in </w:t>
      </w:r>
      <w:r>
        <w:rPr>
          <w:i/>
          <w:iCs/>
          <w:lang/>
        </w:rPr>
        <w:t>The Law That Never Was</w:t>
      </w:r>
      <w:r>
        <w:rPr>
          <w:lang/>
        </w:rPr>
        <w:t xml:space="preserve">, have not persuaded Miller and his compatriots to seek a more effective forum for airing their attack on the federal income tax structure." The court then sanctioned the litigants for advancing a "patently </w:t>
      </w:r>
      <w:hyperlink r:id="rId105" w:tooltip="Frivolous litigation" w:history="1">
        <w:r>
          <w:rPr>
            <w:rStyle w:val="Hyperlink"/>
            <w:lang/>
          </w:rPr>
          <w:t>frivolous</w:t>
        </w:r>
      </w:hyperlink>
      <w:r>
        <w:rPr>
          <w:lang/>
        </w:rPr>
        <w:t>" position.</w:t>
      </w:r>
    </w:p>
    <w:p w:rsidR="00160BEB" w:rsidRDefault="00160BEB" w:rsidP="00160BEB">
      <w:pPr>
        <w:pStyle w:val="NormalWeb"/>
        <w:rPr>
          <w:lang/>
        </w:rPr>
      </w:pPr>
      <w:r>
        <w:rPr>
          <w:lang/>
        </w:rPr>
        <w:t xml:space="preserve">Similar "Sixteenth Amendment arguments" have been uniformly rejected by the courts in other cases including </w:t>
      </w:r>
      <w:r>
        <w:rPr>
          <w:i/>
          <w:iCs/>
          <w:lang/>
        </w:rPr>
        <w:t>United States v. Thomas</w:t>
      </w:r>
      <w:r>
        <w:rPr>
          <w:lang/>
        </w:rPr>
        <w:t>.</w:t>
      </w:r>
      <w:hyperlink r:id="rId106" w:anchor="cite_note-8" w:history="1">
        <w:r>
          <w:rPr>
            <w:rStyle w:val="Hyperlink"/>
            <w:vertAlign w:val="superscript"/>
            <w:lang/>
          </w:rPr>
          <w:t>[8]</w:t>
        </w:r>
      </w:hyperlink>
      <w:r>
        <w:rPr>
          <w:lang/>
        </w:rPr>
        <w:t xml:space="preserve"> In </w:t>
      </w:r>
      <w:r>
        <w:rPr>
          <w:i/>
          <w:iCs/>
          <w:lang/>
        </w:rPr>
        <w:t>Thomas</w:t>
      </w:r>
      <w:r>
        <w:rPr>
          <w:lang/>
        </w:rPr>
        <w:t xml:space="preserve"> the court, in affirming the tax convictions of Kenneth L. Thomas, referred to Benson's book and noted that the errors found by Benson had already been investigated by Secretary of State Knox at the time of ratification of the Sixteenth Amendment, and had been determined to be insignificant. (See </w:t>
      </w:r>
      <w:hyperlink r:id="rId107" w:tooltip="Tax protester constitutional arguments" w:history="1">
        <w:r>
          <w:rPr>
            <w:rStyle w:val="Hyperlink"/>
            <w:lang/>
          </w:rPr>
          <w:t>Tax protester constitutional arguments</w:t>
        </w:r>
      </w:hyperlink>
      <w:r>
        <w:rPr>
          <w:lang/>
        </w:rPr>
        <w:t>.)</w:t>
      </w:r>
    </w:p>
    <w:p w:rsidR="00160BEB" w:rsidRDefault="00160BEB" w:rsidP="00160BEB">
      <w:pPr>
        <w:pStyle w:val="NormalWeb"/>
        <w:rPr>
          <w:lang/>
        </w:rPr>
      </w:pPr>
      <w:r>
        <w:rPr>
          <w:lang/>
        </w:rPr>
        <w:t xml:space="preserve">Arguments that the Sixteenth Amendment was not properly ratified were also rejected in </w:t>
      </w:r>
      <w:r>
        <w:rPr>
          <w:i/>
          <w:iCs/>
          <w:lang/>
        </w:rPr>
        <w:t>Sisk v. Commissioner</w:t>
      </w:r>
      <w:r>
        <w:rPr>
          <w:lang/>
        </w:rPr>
        <w:t>;</w:t>
      </w:r>
      <w:hyperlink r:id="rId108" w:anchor="cite_note-9" w:history="1">
        <w:r>
          <w:rPr>
            <w:rStyle w:val="Hyperlink"/>
            <w:vertAlign w:val="superscript"/>
            <w:lang/>
          </w:rPr>
          <w:t>[9]</w:t>
        </w:r>
      </w:hyperlink>
      <w:r>
        <w:rPr>
          <w:lang/>
        </w:rPr>
        <w:t xml:space="preserve"> </w:t>
      </w:r>
      <w:r>
        <w:rPr>
          <w:i/>
          <w:iCs/>
          <w:lang/>
        </w:rPr>
        <w:t>United States v. Sitka</w:t>
      </w:r>
      <w:r>
        <w:rPr>
          <w:lang/>
        </w:rPr>
        <w:t>;</w:t>
      </w:r>
      <w:hyperlink r:id="rId109" w:anchor="cite_note-10" w:history="1">
        <w:r>
          <w:rPr>
            <w:rStyle w:val="Hyperlink"/>
            <w:vertAlign w:val="superscript"/>
            <w:lang/>
          </w:rPr>
          <w:t>[10]</w:t>
        </w:r>
      </w:hyperlink>
      <w:r>
        <w:rPr>
          <w:lang/>
        </w:rPr>
        <w:t xml:space="preserve"> and </w:t>
      </w:r>
      <w:r>
        <w:rPr>
          <w:i/>
          <w:iCs/>
          <w:lang/>
        </w:rPr>
        <w:t>United States v. Stahl</w:t>
      </w:r>
      <w:r>
        <w:rPr>
          <w:lang/>
        </w:rPr>
        <w:t>.</w:t>
      </w:r>
      <w:hyperlink r:id="rId110" w:anchor="cite_note-11" w:history="1">
        <w:r>
          <w:rPr>
            <w:rStyle w:val="Hyperlink"/>
            <w:vertAlign w:val="superscript"/>
            <w:lang/>
          </w:rPr>
          <w:t>[11]</w:t>
        </w:r>
      </w:hyperlink>
      <w:r>
        <w:rPr>
          <w:lang/>
        </w:rPr>
        <w:t xml:space="preserve"> The non-ratification argument has also been deemed legally frivolous in </w:t>
      </w:r>
      <w:r>
        <w:rPr>
          <w:i/>
          <w:iCs/>
          <w:lang/>
        </w:rPr>
        <w:t>Brown v. Commissioner</w:t>
      </w:r>
      <w:hyperlink r:id="rId111" w:anchor="cite_note-12" w:history="1">
        <w:r>
          <w:rPr>
            <w:rStyle w:val="Hyperlink"/>
            <w:vertAlign w:val="superscript"/>
            <w:lang/>
          </w:rPr>
          <w:t>[12]</w:t>
        </w:r>
      </w:hyperlink>
      <w:r>
        <w:rPr>
          <w:lang/>
        </w:rPr>
        <w:t xml:space="preserve"> and </w:t>
      </w:r>
      <w:proofErr w:type="spellStart"/>
      <w:r>
        <w:rPr>
          <w:i/>
          <w:iCs/>
          <w:lang/>
        </w:rPr>
        <w:t>Lysiak</w:t>
      </w:r>
      <w:proofErr w:type="spellEnd"/>
      <w:r>
        <w:rPr>
          <w:i/>
          <w:iCs/>
          <w:lang/>
        </w:rPr>
        <w:t xml:space="preserve"> v. Commissioner</w:t>
      </w:r>
      <w:r>
        <w:rPr>
          <w:lang/>
        </w:rPr>
        <w:t>.</w:t>
      </w:r>
      <w:hyperlink r:id="rId112" w:anchor="cite_note-13" w:history="1">
        <w:r>
          <w:rPr>
            <w:rStyle w:val="Hyperlink"/>
            <w:vertAlign w:val="superscript"/>
            <w:lang/>
          </w:rPr>
          <w:t>[13]</w:t>
        </w:r>
      </w:hyperlink>
    </w:p>
    <w:p w:rsidR="00160BEB" w:rsidRDefault="00160BEB" w:rsidP="00160BEB">
      <w:pPr>
        <w:pStyle w:val="NormalWeb"/>
        <w:rPr>
          <w:lang/>
        </w:rPr>
      </w:pPr>
      <w:r>
        <w:rPr>
          <w:lang/>
        </w:rPr>
        <w:t>The argument that the Sixteenth Amendment was not ratified, and variations of this argument, have been officially identified as legally frivolous federal income tax return positions for purposes of the $5,000 frivolous tax return penalty imposed under Internal Revenue Code section 6702(a).</w:t>
      </w:r>
      <w:hyperlink r:id="rId113" w:anchor="cite_note-14" w:history="1">
        <w:r>
          <w:rPr>
            <w:rStyle w:val="Hyperlink"/>
            <w:vertAlign w:val="superscript"/>
            <w:lang/>
          </w:rPr>
          <w:t>[14]</w:t>
        </w:r>
      </w:hyperlink>
    </w:p>
    <w:p w:rsidR="00160BEB" w:rsidRDefault="00160BEB" w:rsidP="00160BEB">
      <w:pPr>
        <w:pStyle w:val="Heading2"/>
        <w:rPr>
          <w:lang/>
        </w:rPr>
      </w:pPr>
      <w:r>
        <w:rPr>
          <w:rStyle w:val="mw-headline"/>
          <w:lang/>
        </w:rPr>
        <w:t>Benson's federal income tax problems</w:t>
      </w:r>
    </w:p>
    <w:p w:rsidR="00160BEB" w:rsidRDefault="00160BEB" w:rsidP="00160BEB">
      <w:pPr>
        <w:pStyle w:val="NormalWeb"/>
        <w:rPr>
          <w:lang/>
        </w:rPr>
      </w:pPr>
      <w:r>
        <w:rPr>
          <w:lang/>
        </w:rPr>
        <w:t xml:space="preserve">In </w:t>
      </w:r>
      <w:r>
        <w:rPr>
          <w:i/>
          <w:iCs/>
          <w:lang/>
        </w:rPr>
        <w:t>United States v. Benson</w:t>
      </w:r>
      <w:r>
        <w:rPr>
          <w:lang/>
        </w:rPr>
        <w:t>,</w:t>
      </w:r>
      <w:hyperlink r:id="rId114" w:anchor="cite_note-15" w:history="1">
        <w:r>
          <w:rPr>
            <w:rStyle w:val="Hyperlink"/>
            <w:vertAlign w:val="superscript"/>
            <w:lang/>
          </w:rPr>
          <w:t>[15]</w:t>
        </w:r>
      </w:hyperlink>
      <w:r>
        <w:rPr>
          <w:lang/>
        </w:rPr>
        <w:t xml:space="preserve"> a criminal case, Benson himself raised the Sixteenth Amendment argument, which was rejected by the United States Court of Appeals for the Seventh Circuit. In this phase of the case, his conviction for tax evasion and willful failure to file tax returns was overturned on other grounds and the case was remanded to the trial court.</w:t>
      </w:r>
    </w:p>
    <w:p w:rsidR="00160BEB" w:rsidRDefault="00160BEB" w:rsidP="00160BEB">
      <w:pPr>
        <w:pStyle w:val="NormalWeb"/>
        <w:rPr>
          <w:lang/>
        </w:rPr>
      </w:pPr>
      <w:r>
        <w:rPr>
          <w:lang/>
        </w:rPr>
        <w:t>Upon retrial, Benson was again convicted of tax evasion and willful failure to file tax returns, and his conviction was upheld on appeal. The conduct for which he was convicted involved over $100,000 of income he did not report on Federal income tax returns. He was sentenced to four years in prison and five years of probation.</w:t>
      </w:r>
      <w:hyperlink r:id="rId115" w:anchor="cite_note-16" w:history="1">
        <w:r>
          <w:rPr>
            <w:rStyle w:val="Hyperlink"/>
            <w:vertAlign w:val="superscript"/>
            <w:lang/>
          </w:rPr>
          <w:t>[16]</w:t>
        </w:r>
      </w:hyperlink>
    </w:p>
    <w:p w:rsidR="00160BEB" w:rsidRDefault="00160BEB" w:rsidP="00160BEB">
      <w:pPr>
        <w:pStyle w:val="NormalWeb"/>
        <w:rPr>
          <w:lang/>
        </w:rPr>
      </w:pPr>
      <w:r>
        <w:rPr>
          <w:lang/>
        </w:rPr>
        <w:t xml:space="preserve">Benson continued to promote his views. Until early 2008, Benson included verbiage on his web site – in quotation marks – that he attributed to the text of the U.S. Supreme Court decision in </w:t>
      </w:r>
      <w:hyperlink r:id="rId116" w:tooltip="Brushaber v. Union Pacific Railroad" w:history="1">
        <w:proofErr w:type="spellStart"/>
        <w:r>
          <w:rPr>
            <w:rStyle w:val="Hyperlink"/>
            <w:i/>
            <w:iCs/>
            <w:lang/>
          </w:rPr>
          <w:t>Brushaber</w:t>
        </w:r>
        <w:proofErr w:type="spellEnd"/>
        <w:r>
          <w:rPr>
            <w:rStyle w:val="Hyperlink"/>
            <w:i/>
            <w:iCs/>
            <w:lang/>
          </w:rPr>
          <w:t xml:space="preserve"> v. Union Pacific Railroad</w:t>
        </w:r>
      </w:hyperlink>
      <w:r>
        <w:rPr>
          <w:lang/>
        </w:rPr>
        <w:t>, an early case interpreting the Amendment. He quoted the Court as saying that the Sixteenth Amendment "did not change the constitutional limitations which forbid any direct taxation of individuals."</w:t>
      </w:r>
      <w:hyperlink r:id="rId117" w:anchor="cite_note-17" w:history="1">
        <w:r>
          <w:rPr>
            <w:rStyle w:val="Hyperlink"/>
            <w:vertAlign w:val="superscript"/>
            <w:lang/>
          </w:rPr>
          <w:t>[17]</w:t>
        </w:r>
      </w:hyperlink>
      <w:r>
        <w:rPr>
          <w:lang/>
        </w:rPr>
        <w:t xml:space="preserve"> The text of the Court's decision does not contain any such quotation.</w:t>
      </w:r>
      <w:hyperlink r:id="rId118" w:anchor="cite_note-18" w:history="1">
        <w:r>
          <w:rPr>
            <w:rStyle w:val="Hyperlink"/>
            <w:vertAlign w:val="superscript"/>
            <w:lang/>
          </w:rPr>
          <w:t>[18]</w:t>
        </w:r>
      </w:hyperlink>
      <w:r>
        <w:rPr>
          <w:lang/>
        </w:rPr>
        <w:t xml:space="preserve"> No U.S. Federal court has ever ruled that any provision of the United States Constitution forbids any direct taxation of individuals. Benson apparently removed the material after </w:t>
      </w:r>
      <w:hyperlink r:id="rId119" w:anchor="Benson.27s_non-ratification_argument_ruled_fraudulent" w:history="1">
        <w:r>
          <w:rPr>
            <w:rStyle w:val="Hyperlink"/>
            <w:lang/>
          </w:rPr>
          <w:t>a court order was issued regarding his materials</w:t>
        </w:r>
      </w:hyperlink>
      <w:r>
        <w:rPr>
          <w:lang/>
        </w:rPr>
        <w:t>.</w:t>
      </w:r>
    </w:p>
    <w:p w:rsidR="00160BEB" w:rsidRDefault="00160BEB" w:rsidP="00160BEB">
      <w:pPr>
        <w:pStyle w:val="NormalWeb"/>
        <w:rPr>
          <w:lang/>
        </w:rPr>
      </w:pPr>
      <w:r>
        <w:rPr>
          <w:lang/>
        </w:rPr>
        <w:t xml:space="preserve">Until January 2008, Benson's web site also stated: "After serving time in federal prison for not paying his United States income taxes, Bill Benson still does not pay income taxes and yet our federal government chooses not to arrest him. Why? Because </w:t>
      </w:r>
      <w:r>
        <w:rPr>
          <w:i/>
          <w:iCs/>
          <w:lang/>
        </w:rPr>
        <w:t>now he can use this book</w:t>
      </w:r>
      <w:r>
        <w:rPr>
          <w:lang/>
        </w:rPr>
        <w:t>, which he has written : 'THE LAW THAT NEVER WAS' in his defense."</w:t>
      </w:r>
      <w:hyperlink r:id="rId120" w:anchor="cite_note-19" w:history="1">
        <w:r>
          <w:rPr>
            <w:rStyle w:val="Hyperlink"/>
            <w:vertAlign w:val="superscript"/>
            <w:lang/>
          </w:rPr>
          <w:t>[19]</w:t>
        </w:r>
      </w:hyperlink>
      <w:r>
        <w:rPr>
          <w:lang/>
        </w:rPr>
        <w:t xml:space="preserve"> Similarly, as late as the year 2007, Benson claimed, in marketing the "Reliance Defense Package" that included his non-ratification argument, that "[t]o date, the IRS has steadfastly refused to prosecute any person standing on this defense. Why do they do this? Because they know they cannot win!!"</w:t>
      </w:r>
      <w:hyperlink r:id="rId121" w:anchor="cite_note-20" w:history="1">
        <w:r>
          <w:rPr>
            <w:rStyle w:val="Hyperlink"/>
            <w:vertAlign w:val="superscript"/>
            <w:lang/>
          </w:rPr>
          <w:t>[20]</w:t>
        </w:r>
      </w:hyperlink>
      <w:r>
        <w:rPr>
          <w:lang/>
        </w:rPr>
        <w:t xml:space="preserve"> The book was actually published several years before Benson's arrest and, as noted above, Benson himself actually was convicted despite using the defense.</w:t>
      </w:r>
    </w:p>
    <w:p w:rsidR="00160BEB" w:rsidRDefault="00160BEB" w:rsidP="00160BEB">
      <w:pPr>
        <w:pStyle w:val="NormalWeb"/>
        <w:rPr>
          <w:lang/>
        </w:rPr>
      </w:pPr>
      <w:r>
        <w:rPr>
          <w:lang/>
        </w:rPr>
        <w:t>In one of Benson's cases, the United States Court of Appeals for the Seventh Circuit stated:</w:t>
      </w:r>
    </w:p>
    <w:p w:rsidR="00160BEB" w:rsidRDefault="00160BEB" w:rsidP="00160BEB">
      <w:pPr>
        <w:pStyle w:val="NormalWeb"/>
        <w:spacing w:after="240" w:afterAutospacing="0"/>
        <w:rPr>
          <w:lang/>
        </w:rPr>
      </w:pPr>
      <w:r>
        <w:rPr>
          <w:lang/>
        </w:rPr>
        <w:t>Benson argues that he did not need to file tax returns or pay income taxes because the Sixteenth Amendment was not properly ratified. [....] The district court denied Benson's request for an evidentiary hearing on this issue and refused to hear any Sixteenth Amendment argument.</w:t>
      </w:r>
    </w:p>
    <w:p w:rsidR="00160BEB" w:rsidRDefault="00160BEB" w:rsidP="00160BEB">
      <w:pPr>
        <w:pStyle w:val="NormalWeb"/>
        <w:spacing w:after="240" w:afterAutospacing="0"/>
        <w:rPr>
          <w:lang/>
        </w:rPr>
      </w:pPr>
      <w:r>
        <w:rPr>
          <w:lang/>
        </w:rPr>
        <w:t>As the district court noted, we have repeatedly rejected the claim that the Sixteenth Amendment was improperly ratified. [...] One would think this repeated rejection of Benson's Sixteenth Amendment argument would put the matter to rest [...] Benson is the co-author of The Law That Never Was, a book that purports to "review the documents concerning the states' ratification of the Sixteenth Amendment" and to show "that only four states ratified the Sixteenth Amendment [and that] the official promulgation of the amendment by Secretary of State Knox in 1913 is therefore void." [...] Benson insists that as the co-author of The Law That Never Was, and the man who actually reviewed the state documents "proving" improper ratification, he is uniquely qualified to make the "exceptionally strong showing" we spoke of in Foster. Because of this, Benson insists, the district court should have at least granted him an evidentiary hearing on the Sixteenth Amendment issue.</w:t>
      </w:r>
    </w:p>
    <w:p w:rsidR="00160BEB" w:rsidRDefault="00160BEB" w:rsidP="00160BEB">
      <w:pPr>
        <w:rPr>
          <w:lang/>
        </w:rPr>
      </w:pPr>
      <w:r>
        <w:rPr>
          <w:lang/>
        </w:rPr>
        <w:t>Benson is wrong. In Thomas, we specifically examined the arguments made in The Law That Never Was, and concluded that "Benson ... did not discover anything." We concluded that Secretary Knox's declaration that sufficient states had ratified the Sixteenth Amendment was conclusive, and that "Secretary Knox's decision is now beyond review." [....] It necessarily follows that the district court correctly refused to hold an evidentiary hearing; no hearing is necessary to consider an issue that is "beyond review."</w:t>
      </w:r>
      <w:hyperlink r:id="rId122" w:anchor="cite_note-21" w:history="1">
        <w:r>
          <w:rPr>
            <w:rStyle w:val="Hyperlink"/>
            <w:vertAlign w:val="superscript"/>
            <w:lang/>
          </w:rPr>
          <w:t>[21]</w:t>
        </w:r>
      </w:hyperlink>
    </w:p>
    <w:p w:rsidR="00160BEB" w:rsidRDefault="00160BEB" w:rsidP="00160BEB">
      <w:pPr>
        <w:pStyle w:val="Heading2"/>
        <w:rPr>
          <w:lang/>
        </w:rPr>
      </w:pPr>
      <w:r>
        <w:rPr>
          <w:rStyle w:val="mw-headline"/>
          <w:lang/>
        </w:rPr>
        <w:t>Benson's non-ratification argument ruled fraudulent</w:t>
      </w:r>
    </w:p>
    <w:p w:rsidR="00160BEB" w:rsidRDefault="00160BEB" w:rsidP="00160BEB">
      <w:pPr>
        <w:pStyle w:val="NormalWeb"/>
        <w:rPr>
          <w:lang/>
        </w:rPr>
      </w:pPr>
      <w:r>
        <w:rPr>
          <w:lang/>
        </w:rPr>
        <w:t>On December 17, 2007, the United States District Court for the Northern District of Illinois ruled that Benson's "Reliance Defense Package" (including Benson's Sixteenth Amendment non-ratification argument), which Benson sold to customers via the internet, constituted a "fraud perpetrated by Benson" that had "caused needless confusion and a waste of the customers' and the IRS' time and resources."</w:t>
      </w:r>
      <w:hyperlink r:id="rId123" w:anchor="cite_note-22" w:history="1">
        <w:r>
          <w:rPr>
            <w:rStyle w:val="Hyperlink"/>
            <w:vertAlign w:val="superscript"/>
            <w:lang/>
          </w:rPr>
          <w:t>[22]</w:t>
        </w:r>
      </w:hyperlink>
    </w:p>
    <w:p w:rsidR="00160BEB" w:rsidRDefault="00160BEB" w:rsidP="00160BEB">
      <w:pPr>
        <w:pStyle w:val="NormalWeb"/>
        <w:rPr>
          <w:lang/>
        </w:rPr>
      </w:pPr>
      <w:r>
        <w:rPr>
          <w:lang/>
        </w:rPr>
        <w:t>The court stated: "Benson has failed to point to evidence that would create a genuinely disputed fact regarding whether the Sixteenth Amendment was properly ratified or whether United States Citizens are legally obligated to pay federal taxes. Also, as is indicated above, Benson is precluded in this action from taking the position that the Sixteenth Amendment was not properly ratified."</w:t>
      </w:r>
      <w:hyperlink r:id="rId124" w:anchor="cite_note-23" w:history="1">
        <w:r>
          <w:rPr>
            <w:rStyle w:val="Hyperlink"/>
            <w:vertAlign w:val="superscript"/>
            <w:lang/>
          </w:rPr>
          <w:t>[23]</w:t>
        </w:r>
      </w:hyperlink>
      <w:r>
        <w:rPr>
          <w:lang/>
        </w:rPr>
        <w:t xml:space="preserve"> The court stated that "the undisputed evidence shows that Benson had actual knowledge that the information in the Reliance Defense Package was false or fraudulent."</w:t>
      </w:r>
      <w:hyperlink r:id="rId125" w:anchor="cite_note-24" w:history="1">
        <w:r>
          <w:rPr>
            <w:rStyle w:val="Hyperlink"/>
            <w:vertAlign w:val="superscript"/>
            <w:lang/>
          </w:rPr>
          <w:t>[24]</w:t>
        </w:r>
      </w:hyperlink>
      <w:r>
        <w:rPr>
          <w:lang/>
        </w:rPr>
        <w:t xml:space="preserve"> The court also stated: "Benson falsely tells customers that if they purchase and use his products they will be shielded from criminal prosecution for violating the internal revenue laws. Purchasers of the 'Reliance Defense Package' receive a letter signed by Benson that falsely represents that the purchaser can rely on Benson's research to conclude that the Sixteenth Amendment was not ratified, and that the purchaser is thereby not required to file federal income tax returns or pay federal income or social security taxes to the United States."</w:t>
      </w:r>
      <w:hyperlink r:id="rId126" w:anchor="cite_note-25" w:history="1">
        <w:r>
          <w:rPr>
            <w:rStyle w:val="Hyperlink"/>
            <w:vertAlign w:val="superscript"/>
            <w:lang/>
          </w:rPr>
          <w:t>[25]</w:t>
        </w:r>
      </w:hyperlink>
      <w:r>
        <w:rPr>
          <w:lang/>
        </w:rPr>
        <w:t xml:space="preserve"> The court ruled that "Benson's position has no merit and he has used his fraudulent tax advice to deceive other citizens and profit from it" in violation of </w:t>
      </w:r>
      <w:hyperlink r:id="rId127" w:tooltip="Internal Revenue Code" w:history="1">
        <w:r>
          <w:rPr>
            <w:rStyle w:val="Hyperlink"/>
            <w:lang/>
          </w:rPr>
          <w:t>26 U.S.C.</w:t>
        </w:r>
      </w:hyperlink>
      <w:r>
        <w:rPr>
          <w:lang/>
        </w:rPr>
        <w:t> </w:t>
      </w:r>
      <w:hyperlink r:id="rId128" w:history="1">
        <w:r>
          <w:rPr>
            <w:rStyle w:val="Hyperlink"/>
            <w:lang/>
          </w:rPr>
          <w:t>§ 6700</w:t>
        </w:r>
      </w:hyperlink>
      <w:r>
        <w:rPr>
          <w:lang/>
        </w:rPr>
        <w:t>.</w:t>
      </w:r>
      <w:hyperlink r:id="rId129" w:anchor="cite_note-26" w:history="1">
        <w:r>
          <w:rPr>
            <w:rStyle w:val="Hyperlink"/>
            <w:vertAlign w:val="superscript"/>
            <w:lang/>
          </w:rPr>
          <w:t>[26]</w:t>
        </w:r>
      </w:hyperlink>
    </w:p>
    <w:p w:rsidR="00160BEB" w:rsidRDefault="00160BEB" w:rsidP="00160BEB">
      <w:pPr>
        <w:pStyle w:val="NormalWeb"/>
        <w:rPr>
          <w:lang/>
        </w:rPr>
      </w:pPr>
      <w:r>
        <w:rPr>
          <w:lang/>
        </w:rPr>
        <w:t xml:space="preserve">The court granted an injunction under </w:t>
      </w:r>
      <w:hyperlink r:id="rId130" w:tooltip="Internal Revenue Code" w:history="1">
        <w:r>
          <w:rPr>
            <w:rStyle w:val="Hyperlink"/>
            <w:lang/>
          </w:rPr>
          <w:t>26 U.S.C.</w:t>
        </w:r>
      </w:hyperlink>
      <w:r>
        <w:rPr>
          <w:lang/>
        </w:rPr>
        <w:t> </w:t>
      </w:r>
      <w:hyperlink r:id="rId131" w:history="1">
        <w:r>
          <w:rPr>
            <w:rStyle w:val="Hyperlink"/>
            <w:lang/>
          </w:rPr>
          <w:t>§ 7408</w:t>
        </w:r>
      </w:hyperlink>
      <w:r>
        <w:rPr>
          <w:lang/>
        </w:rPr>
        <w:t xml:space="preserve"> prohibiting Benson from promoting the theories in Benson's "Reliance Defense Package," which the court referred to as "false and fraudulent advice concerning the payment of federal taxes."</w:t>
      </w:r>
      <w:hyperlink r:id="rId132" w:anchor="cite_note-27" w:history="1">
        <w:r>
          <w:rPr>
            <w:rStyle w:val="Hyperlink"/>
            <w:vertAlign w:val="superscript"/>
            <w:lang/>
          </w:rPr>
          <w:t>[27]</w:t>
        </w:r>
      </w:hyperlink>
      <w:hyperlink r:id="rId133" w:anchor="cite_note-28" w:history="1">
        <w:r>
          <w:rPr>
            <w:rStyle w:val="Hyperlink"/>
            <w:vertAlign w:val="superscript"/>
            <w:lang/>
          </w:rPr>
          <w:t>[28]</w:t>
        </w:r>
      </w:hyperlink>
      <w:r>
        <w:rPr>
          <w:lang/>
        </w:rPr>
        <w:t xml:space="preserve"> The court injunction requires that Benson send his customers copies of the order, and that he post the order on his website.</w:t>
      </w:r>
      <w:hyperlink r:id="rId134" w:anchor="cite_note-29" w:history="1">
        <w:r>
          <w:rPr>
            <w:rStyle w:val="Hyperlink"/>
            <w:vertAlign w:val="superscript"/>
            <w:lang/>
          </w:rPr>
          <w:t>[29]</w:t>
        </w:r>
      </w:hyperlink>
      <w:r>
        <w:rPr>
          <w:lang/>
        </w:rPr>
        <w:t xml:space="preserve"> As of January 2008 Benson had modified his web site and posted a copy of the court order.</w:t>
      </w:r>
    </w:p>
    <w:p w:rsidR="00160BEB" w:rsidRDefault="00160BEB" w:rsidP="00160BEB">
      <w:pPr>
        <w:pStyle w:val="NormalWeb"/>
        <w:rPr>
          <w:lang/>
        </w:rPr>
      </w:pPr>
      <w:r>
        <w:rPr>
          <w:lang/>
        </w:rPr>
        <w:t xml:space="preserve">Benson appealed the decision of the District Court. Benson argued that prohibiting him from selling his “Reliance Defense Package” and his “16th Amendment Reliance Package” was a violation of his First Amendment Rights. The Court of Appeals for the Seventh Circuit rejected that argument in a ruling on April 6, 2009. The Court ruled that although Benson could sell his book, </w:t>
      </w:r>
      <w:r>
        <w:rPr>
          <w:i/>
          <w:iCs/>
          <w:lang/>
        </w:rPr>
        <w:t>The Law that Never Was</w:t>
      </w:r>
      <w:r>
        <w:rPr>
          <w:lang/>
        </w:rPr>
        <w:t>, the court order prohibiting him from selling his “Reliance Defense Package” and his “16th Amendment Reliance Package” did not violate his First Amendment Right, as the sale of those two items constituted "false commercial speech."</w:t>
      </w:r>
      <w:hyperlink r:id="rId135" w:anchor="cite_note-30" w:history="1">
        <w:r>
          <w:rPr>
            <w:rStyle w:val="Hyperlink"/>
            <w:vertAlign w:val="superscript"/>
            <w:lang/>
          </w:rPr>
          <w:t>[30]</w:t>
        </w:r>
      </w:hyperlink>
    </w:p>
    <w:p w:rsidR="00160BEB" w:rsidRDefault="00160BEB" w:rsidP="00160BEB">
      <w:pPr>
        <w:pStyle w:val="NormalWeb"/>
        <w:rPr>
          <w:lang/>
        </w:rPr>
      </w:pPr>
      <w:r>
        <w:rPr>
          <w:lang/>
        </w:rPr>
        <w:t>The Court of Appeals stated:</w:t>
      </w:r>
    </w:p>
    <w:p w:rsidR="00160BEB" w:rsidRDefault="00160BEB" w:rsidP="00160BEB">
      <w:pPr>
        <w:ind w:left="720"/>
        <w:rPr>
          <w:lang/>
        </w:rPr>
      </w:pPr>
      <w:r>
        <w:rPr>
          <w:lang/>
        </w:rPr>
        <w:t>Benson knew or had reason to know that his statements were false or fraudulent. 26 U.S.C. [section] 6700(a)(2)(A). Benson's claim to have discovered that the Sixteenth Amendment was not ratified has been rejected by this Court in Benson's own criminal appeal. [ . . . . ] Benson knows that his claim that he can rely on his book to prevent federal prosecution is equally false because his attempt to rely on his book in his own criminal case was ineffective.</w:t>
      </w:r>
      <w:hyperlink r:id="rId136" w:anchor="cite_note-31" w:history="1">
        <w:r>
          <w:rPr>
            <w:rStyle w:val="Hyperlink"/>
            <w:vertAlign w:val="superscript"/>
            <w:lang/>
          </w:rPr>
          <w:t>[31]</w:t>
        </w:r>
      </w:hyperlink>
    </w:p>
    <w:p w:rsidR="00160BEB" w:rsidRDefault="00160BEB" w:rsidP="00160BEB">
      <w:pPr>
        <w:pStyle w:val="NormalWeb"/>
        <w:rPr>
          <w:lang/>
        </w:rPr>
      </w:pPr>
      <w:r>
        <w:rPr>
          <w:lang/>
        </w:rPr>
        <w:t>The Court of Appeals also ruled that the government could obtain a ruling ordering Benson to turn his customer list over to the government.</w:t>
      </w:r>
      <w:hyperlink r:id="rId137" w:anchor="cite_note-32" w:history="1">
        <w:r>
          <w:rPr>
            <w:rStyle w:val="Hyperlink"/>
            <w:vertAlign w:val="superscript"/>
            <w:lang/>
          </w:rPr>
          <w:t>[32]</w:t>
        </w:r>
      </w:hyperlink>
      <w:r>
        <w:rPr>
          <w:lang/>
        </w:rPr>
        <w:t xml:space="preserve"> Benson petitioned the United States Supreme Court, and the Supreme Court denied his petition in November of 2009.</w:t>
      </w:r>
      <w:hyperlink r:id="rId138" w:anchor="cite_note-33" w:history="1">
        <w:r>
          <w:rPr>
            <w:rStyle w:val="Hyperlink"/>
            <w:vertAlign w:val="superscript"/>
            <w:lang/>
          </w:rPr>
          <w:t>[33]</w:t>
        </w:r>
      </w:hyperlink>
    </w:p>
    <w:p w:rsidR="00160BEB" w:rsidRDefault="00160BEB" w:rsidP="00160BEB">
      <w:pPr>
        <w:pStyle w:val="Heading2"/>
        <w:rPr>
          <w:lang/>
        </w:rPr>
      </w:pPr>
      <w:r>
        <w:rPr>
          <w:rStyle w:val="mw-headline"/>
          <w:lang/>
        </w:rPr>
        <w:t>Followers of Benson</w:t>
      </w:r>
    </w:p>
    <w:p w:rsidR="00160BEB" w:rsidRDefault="00160BEB" w:rsidP="00160BEB">
      <w:pPr>
        <w:pStyle w:val="NormalWeb"/>
        <w:rPr>
          <w:lang/>
        </w:rPr>
      </w:pPr>
      <w:r>
        <w:rPr>
          <w:lang/>
        </w:rPr>
        <w:t xml:space="preserve">Followers of Benson who have been convicted of federal tax crimes include Kenneth L. Thomas and Wayne </w:t>
      </w:r>
      <w:proofErr w:type="spellStart"/>
      <w:r>
        <w:rPr>
          <w:lang/>
        </w:rPr>
        <w:t>Wojtas</w:t>
      </w:r>
      <w:proofErr w:type="spellEnd"/>
      <w:r>
        <w:rPr>
          <w:lang/>
        </w:rPr>
        <w:t xml:space="preserve"> (see above). Additionally, on March 6, 2008, the United States Attorney's office in Grand Rapids, Michigan announced that Charles E. Hughes of Dansville, Michigan had been convicted of four counts of tax evasion. Hughes had purchased Benson's "16th Amendment Reliance Defense Package" for $3,500, and had used the materials. The U.S. Attorney's office stated:</w:t>
      </w:r>
    </w:p>
    <w:p w:rsidR="00160BEB" w:rsidRDefault="00160BEB" w:rsidP="00160BEB">
      <w:pPr>
        <w:ind w:left="720"/>
        <w:rPr>
          <w:lang/>
        </w:rPr>
      </w:pPr>
      <w:r>
        <w:rPr>
          <w:lang/>
        </w:rPr>
        <w:t>Although the legal analysis and claims contained in the package have been thoroughly discredited, some persons who purchase this or similar packages have used it in an attempt to justify their decision to stop paying federal income taxes. Hughes made that choice. He failed to file his 2000 through 2002, and 2004 federal tax returns, despite having more than $300,000 in income over that period. In addition to his failure to file returns, Hughes also took affirmative steps to avoid having federal tax withheld from his income, including the filing of fraudulent forms.</w:t>
      </w:r>
      <w:hyperlink r:id="rId139" w:anchor="cite_note-34" w:history="1">
        <w:r>
          <w:rPr>
            <w:rStyle w:val="Hyperlink"/>
            <w:vertAlign w:val="superscript"/>
            <w:lang/>
          </w:rPr>
          <w:t>[34]</w:t>
        </w:r>
      </w:hyperlink>
    </w:p>
    <w:p w:rsidR="00160BEB" w:rsidRDefault="00160BEB" w:rsidP="00160BEB">
      <w:pPr>
        <w:pStyle w:val="NormalWeb"/>
        <w:rPr>
          <w:lang/>
        </w:rPr>
      </w:pPr>
      <w:r>
        <w:rPr>
          <w:lang/>
        </w:rPr>
        <w:t>Hughes was sentenced to 15 months in federal prison,</w:t>
      </w:r>
      <w:hyperlink r:id="rId140" w:anchor="cite_note-35" w:history="1">
        <w:r>
          <w:rPr>
            <w:rStyle w:val="Hyperlink"/>
            <w:vertAlign w:val="superscript"/>
            <w:lang/>
          </w:rPr>
          <w:t>[35]</w:t>
        </w:r>
      </w:hyperlink>
      <w:r>
        <w:rPr>
          <w:lang/>
        </w:rPr>
        <w:t xml:space="preserve"> and was incarcerated at Federal Correctional Institution at Ashland, Kentucky. He served his time and was released from prison in May 2009.</w:t>
      </w:r>
      <w:hyperlink r:id="rId141" w:anchor="cite_note-36" w:history="1">
        <w:r>
          <w:rPr>
            <w:rStyle w:val="Hyperlink"/>
            <w:vertAlign w:val="superscript"/>
            <w:lang/>
          </w:rPr>
          <w:t>[36]</w:t>
        </w:r>
      </w:hyperlink>
    </w:p>
    <w:p w:rsidR="00160BEB" w:rsidRDefault="00160BEB" w:rsidP="00160BEB">
      <w:pPr>
        <w:pStyle w:val="Heading2"/>
        <w:rPr>
          <w:lang/>
        </w:rPr>
      </w:pPr>
      <w:r>
        <w:rPr>
          <w:rStyle w:val="mw-headline"/>
          <w:lang/>
        </w:rPr>
        <w:t>See also</w:t>
      </w:r>
    </w:p>
    <w:p w:rsidR="00160BEB" w:rsidRDefault="00160BEB" w:rsidP="00160BEB">
      <w:pPr>
        <w:numPr>
          <w:ilvl w:val="0"/>
          <w:numId w:val="41"/>
        </w:numPr>
        <w:spacing w:before="100" w:beforeAutospacing="1" w:after="100" w:afterAutospacing="1" w:line="240" w:lineRule="auto"/>
        <w:rPr>
          <w:lang/>
        </w:rPr>
      </w:pPr>
      <w:hyperlink r:id="rId142" w:tooltip="Tax protester Sixteenth Amendment arguments" w:history="1">
        <w:r>
          <w:rPr>
            <w:rStyle w:val="Hyperlink"/>
            <w:lang/>
          </w:rPr>
          <w:t>Tax protester Sixteenth Amendment arguments</w:t>
        </w:r>
      </w:hyperlink>
    </w:p>
    <w:p w:rsidR="00160BEB" w:rsidRDefault="00160BEB" w:rsidP="00160BEB">
      <w:pPr>
        <w:pStyle w:val="Heading2"/>
        <w:rPr>
          <w:lang/>
        </w:rPr>
      </w:pPr>
      <w:r>
        <w:rPr>
          <w:rStyle w:val="mw-headline"/>
          <w:lang/>
        </w:rPr>
        <w:t>Notes</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Senate Document No. 103-6 (1992 ed.), Analysis and Interpretation of the Constitution; Annotations of Cases Decided by the Supreme Court of the United States (United States Government Printing Office). </w:t>
      </w:r>
      <w:hyperlink r:id="rId143" w:history="1">
        <w:r>
          <w:rPr>
            <w:rStyle w:val="Hyperlink"/>
            <w:lang/>
          </w:rPr>
          <w:t>http://www.gpoaccess.gov/constitution/html/conamt.html</w:t>
        </w:r>
      </w:hyperlink>
    </w:p>
    <w:p w:rsidR="00160BEB" w:rsidRDefault="00160BEB" w:rsidP="00160BEB">
      <w:pPr>
        <w:numPr>
          <w:ilvl w:val="1"/>
          <w:numId w:val="42"/>
        </w:numPr>
        <w:spacing w:before="100" w:beforeAutospacing="1" w:after="100" w:afterAutospacing="1" w:line="240" w:lineRule="auto"/>
        <w:ind w:left="720"/>
        <w:rPr>
          <w:lang/>
        </w:rPr>
      </w:pPr>
      <w:r>
        <w:rPr>
          <w:rStyle w:val="reference-text"/>
          <w:i/>
          <w:iCs/>
          <w:lang/>
        </w:rPr>
        <w:t>United States v. Scott</w:t>
      </w:r>
      <w:r>
        <w:rPr>
          <w:rStyle w:val="reference-text"/>
          <w:lang/>
        </w:rPr>
        <w:t>, 521 F.2d 1188 (9th Cir. 1975).</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See </w:t>
      </w:r>
      <w:r>
        <w:rPr>
          <w:rStyle w:val="reference-text"/>
          <w:i/>
          <w:iCs/>
          <w:lang/>
        </w:rPr>
        <w:t xml:space="preserve">Ex parte </w:t>
      </w:r>
      <w:proofErr w:type="spellStart"/>
      <w:r>
        <w:rPr>
          <w:rStyle w:val="reference-text"/>
          <w:i/>
          <w:iCs/>
          <w:lang/>
        </w:rPr>
        <w:t>Tammen</w:t>
      </w:r>
      <w:proofErr w:type="spellEnd"/>
      <w:r>
        <w:rPr>
          <w:rStyle w:val="reference-text"/>
          <w:lang/>
        </w:rPr>
        <w:t xml:space="preserve">, 438 F. Supp. 349, 78-1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xml:space="preserve">. 9302 (N.D. Tex. 1977), at </w:t>
      </w:r>
      <w:hyperlink r:id="rId144" w:history="1">
        <w:r>
          <w:rPr>
            <w:rStyle w:val="Hyperlink"/>
            <w:lang/>
          </w:rPr>
          <w:t>[1]</w:t>
        </w:r>
      </w:hyperlink>
      <w:r>
        <w:rPr>
          <w:rStyle w:val="reference-text"/>
          <w:lang/>
        </w:rPr>
        <w:t>.</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617 F. Supp. 237, 87-2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9562 (W.D. Mich. 1985).</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611 F. Supp. 118 (N.D. Ill. 1985).</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Wayne Francis </w:t>
      </w:r>
      <w:proofErr w:type="spellStart"/>
      <w:r>
        <w:rPr>
          <w:rStyle w:val="reference-text"/>
          <w:lang/>
        </w:rPr>
        <w:t>Wojtas</w:t>
      </w:r>
      <w:proofErr w:type="spellEnd"/>
      <w:r>
        <w:rPr>
          <w:rStyle w:val="reference-text"/>
          <w:lang/>
        </w:rPr>
        <w:t xml:space="preserve">, inmate # 93604-024, Federal Bureau of Prisons, U.S. Dep't of Justice, at </w:t>
      </w:r>
      <w:hyperlink r:id="rId145" w:history="1">
        <w:r>
          <w:rPr>
            <w:rStyle w:val="Hyperlink"/>
            <w:lang/>
          </w:rPr>
          <w:t>[2]</w:t>
        </w:r>
      </w:hyperlink>
      <w:r>
        <w:rPr>
          <w:rStyle w:val="reference-text"/>
          <w:lang/>
        </w:rPr>
        <w:t>.</w:t>
      </w:r>
    </w:p>
    <w:p w:rsidR="00160BEB" w:rsidRDefault="00160BEB" w:rsidP="00160BEB">
      <w:pPr>
        <w:numPr>
          <w:ilvl w:val="1"/>
          <w:numId w:val="42"/>
        </w:numPr>
        <w:spacing w:before="100" w:beforeAutospacing="1" w:after="100" w:afterAutospacing="1" w:line="240" w:lineRule="auto"/>
        <w:ind w:left="720"/>
        <w:rPr>
          <w:lang/>
        </w:rPr>
      </w:pPr>
      <w:hyperlink r:id="rId146" w:tooltip="Case citation" w:history="1">
        <w:r>
          <w:rPr>
            <w:rStyle w:val="Hyperlink"/>
            <w:lang/>
          </w:rPr>
          <w:t>868 F.2d 236</w:t>
        </w:r>
      </w:hyperlink>
      <w:r>
        <w:rPr>
          <w:rStyle w:val="reference-text"/>
          <w:lang/>
        </w:rPr>
        <w:t xml:space="preserve"> 89-1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9184 (</w:t>
      </w:r>
      <w:hyperlink r:id="rId147" w:tooltip="7th Cir." w:history="1">
        <w:r>
          <w:rPr>
            <w:rStyle w:val="Hyperlink"/>
            <w:lang/>
          </w:rPr>
          <w:t>7th Cir.</w:t>
        </w:r>
      </w:hyperlink>
      <w:r>
        <w:rPr>
          <w:rStyle w:val="reference-text"/>
          <w:lang/>
        </w:rPr>
        <w:t xml:space="preserve"> 1989) (per </w:t>
      </w:r>
      <w:proofErr w:type="spellStart"/>
      <w:r>
        <w:rPr>
          <w:rStyle w:val="reference-text"/>
          <w:lang/>
        </w:rPr>
        <w:t>curiam</w:t>
      </w:r>
      <w:proofErr w:type="spellEnd"/>
      <w:r>
        <w:rPr>
          <w:rStyle w:val="reference-text"/>
          <w:lang/>
        </w:rPr>
        <w:t>).</w:t>
      </w:r>
    </w:p>
    <w:p w:rsidR="00160BEB" w:rsidRDefault="00160BEB" w:rsidP="00160BEB">
      <w:pPr>
        <w:numPr>
          <w:ilvl w:val="1"/>
          <w:numId w:val="42"/>
        </w:numPr>
        <w:spacing w:before="100" w:beforeAutospacing="1" w:after="100" w:afterAutospacing="1" w:line="240" w:lineRule="auto"/>
        <w:ind w:left="720"/>
        <w:rPr>
          <w:lang/>
        </w:rPr>
      </w:pPr>
      <w:hyperlink r:id="rId148" w:tooltip="Case citation" w:history="1">
        <w:r>
          <w:rPr>
            <w:rStyle w:val="Hyperlink"/>
            <w:lang/>
          </w:rPr>
          <w:t>788 F.2d 1250, 1252</w:t>
        </w:r>
      </w:hyperlink>
      <w:r>
        <w:rPr>
          <w:rStyle w:val="reference-text"/>
          <w:lang/>
        </w:rPr>
        <w:t xml:space="preserve"> (</w:t>
      </w:r>
      <w:hyperlink r:id="rId149" w:tooltip="7th Cir." w:history="1">
        <w:r>
          <w:rPr>
            <w:rStyle w:val="Hyperlink"/>
            <w:lang/>
          </w:rPr>
          <w:t>7th Cir.</w:t>
        </w:r>
      </w:hyperlink>
      <w:r>
        <w:rPr>
          <w:rStyle w:val="reference-text"/>
          <w:lang/>
        </w:rPr>
        <w:t xml:space="preserve"> 1986), </w:t>
      </w:r>
      <w:r>
        <w:rPr>
          <w:rStyle w:val="reference-text"/>
          <w:i/>
          <w:iCs/>
          <w:lang/>
        </w:rPr>
        <w:t>cert. denied</w:t>
      </w:r>
      <w:r>
        <w:rPr>
          <w:rStyle w:val="reference-text"/>
          <w:lang/>
        </w:rPr>
        <w:t xml:space="preserve">, 479 U.S. 853, 107 S. Ct. 187 (1986), at </w:t>
      </w:r>
      <w:hyperlink r:id="rId150" w:history="1">
        <w:r>
          <w:rPr>
            <w:rStyle w:val="Hyperlink"/>
            <w:lang/>
          </w:rPr>
          <w:t>[3]</w:t>
        </w:r>
      </w:hyperlink>
      <w:r>
        <w:rPr>
          <w:rStyle w:val="reference-text"/>
          <w:lang/>
        </w:rPr>
        <w:t xml:space="preserve">. See also </w:t>
      </w:r>
      <w:r>
        <w:rPr>
          <w:rStyle w:val="reference-text"/>
          <w:i/>
          <w:iCs/>
          <w:lang/>
        </w:rPr>
        <w:t>United States v. Thomas</w:t>
      </w:r>
      <w:r>
        <w:rPr>
          <w:rStyle w:val="reference-text"/>
          <w:lang/>
        </w:rPr>
        <w:t xml:space="preserve">, 934 F.2d 840 (7th Cir. 1991), at </w:t>
      </w:r>
      <w:hyperlink r:id="rId151" w:history="1">
        <w:r>
          <w:rPr>
            <w:rStyle w:val="Hyperlink"/>
            <w:lang/>
          </w:rPr>
          <w:t>[4]</w:t>
        </w:r>
      </w:hyperlink>
      <w:r>
        <w:rPr>
          <w:rStyle w:val="reference-text"/>
          <w:lang/>
        </w:rPr>
        <w:t>.</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791 F.2d 58, 86-1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9433 (6th Cir. 1986).</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845 F.2d 43, 88-1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xml:space="preserve">. 9308 (2d Cir.), </w:t>
      </w:r>
      <w:r>
        <w:rPr>
          <w:rStyle w:val="reference-text"/>
          <w:i/>
          <w:iCs/>
          <w:lang/>
        </w:rPr>
        <w:t>cert. denied</w:t>
      </w:r>
      <w:r>
        <w:rPr>
          <w:rStyle w:val="reference-text"/>
          <w:lang/>
        </w:rPr>
        <w:t>, 488 U.S. 827 (1988).</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792 F.2d 1438, 86-2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xml:space="preserve">. 9518 (9th Cir. 1986), </w:t>
      </w:r>
      <w:r>
        <w:rPr>
          <w:rStyle w:val="reference-text"/>
          <w:i/>
          <w:iCs/>
          <w:lang/>
        </w:rPr>
        <w:t>cert. denied</w:t>
      </w:r>
      <w:r>
        <w:rPr>
          <w:rStyle w:val="reference-text"/>
          <w:lang/>
        </w:rPr>
        <w:t xml:space="preserve">, 107 S. Ct. 888 (1987). See generally </w:t>
      </w:r>
      <w:r>
        <w:rPr>
          <w:rStyle w:val="reference-text"/>
          <w:i/>
          <w:iCs/>
          <w:lang/>
        </w:rPr>
        <w:t xml:space="preserve">United States v. </w:t>
      </w:r>
      <w:proofErr w:type="spellStart"/>
      <w:r>
        <w:rPr>
          <w:rStyle w:val="reference-text"/>
          <w:i/>
          <w:iCs/>
          <w:lang/>
        </w:rPr>
        <w:t>Hempfling</w:t>
      </w:r>
      <w:proofErr w:type="spellEnd"/>
      <w:r>
        <w:rPr>
          <w:rStyle w:val="reference-text"/>
          <w:lang/>
        </w:rPr>
        <w:t>, 431 F. Supp. 2d 1069 (E.D. Calif. 2006).</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53 T.C.M. (CCH) 94, T.C. Memo 1987-78, CCH Dec. 43,696(M) (1987).</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816 F.2d 311, 87-1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9296 (7th Cir. 1987).</w:t>
      </w:r>
    </w:p>
    <w:p w:rsidR="00160BEB" w:rsidRDefault="00160BEB" w:rsidP="00160BEB">
      <w:pPr>
        <w:numPr>
          <w:ilvl w:val="1"/>
          <w:numId w:val="42"/>
        </w:numPr>
        <w:spacing w:before="100" w:beforeAutospacing="1" w:after="100" w:afterAutospacing="1" w:line="240" w:lineRule="auto"/>
        <w:ind w:left="720"/>
        <w:rPr>
          <w:lang/>
        </w:rPr>
      </w:pPr>
      <w:hyperlink r:id="rId152" w:tooltip="Internal Revenue Code" w:history="1">
        <w:r>
          <w:rPr>
            <w:rStyle w:val="Hyperlink"/>
            <w:lang/>
          </w:rPr>
          <w:t>26 U.S.C.</w:t>
        </w:r>
      </w:hyperlink>
      <w:r>
        <w:rPr>
          <w:rStyle w:val="reference-text"/>
          <w:lang/>
        </w:rPr>
        <w:t> </w:t>
      </w:r>
      <w:hyperlink r:id="rId153" w:history="1">
        <w:r>
          <w:rPr>
            <w:rStyle w:val="Hyperlink"/>
            <w:lang/>
          </w:rPr>
          <w:t>§ 6702</w:t>
        </w:r>
      </w:hyperlink>
      <w:r>
        <w:rPr>
          <w:rStyle w:val="reference-text"/>
          <w:lang/>
        </w:rPr>
        <w:t>, as amended by section 407 of the Tax Relief and Health Care Act of 2006, Pub. L. No. 109-432, 120 Stat. 2922 (Dec. 20, 2006). See Notice 2008-14, item 9j, I.R.B. 2008-4 (Jan. 14, 2008), Internal Revenue Service, U.S. Department of the Treasury (superseding Notice 2007-30).</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941 F.2d 598, 91-2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50,437 (7th Cir. 1991).</w:t>
      </w:r>
    </w:p>
    <w:p w:rsidR="00160BEB" w:rsidRDefault="00160BEB" w:rsidP="00160BEB">
      <w:pPr>
        <w:numPr>
          <w:ilvl w:val="1"/>
          <w:numId w:val="42"/>
        </w:numPr>
        <w:spacing w:before="100" w:beforeAutospacing="1" w:after="100" w:afterAutospacing="1" w:line="240" w:lineRule="auto"/>
        <w:ind w:left="720"/>
        <w:rPr>
          <w:lang/>
        </w:rPr>
      </w:pPr>
      <w:r>
        <w:rPr>
          <w:rStyle w:val="reference-text"/>
          <w:i/>
          <w:iCs/>
          <w:lang/>
        </w:rPr>
        <w:t>United States v. Benson</w:t>
      </w:r>
      <w:r>
        <w:rPr>
          <w:rStyle w:val="reference-text"/>
          <w:lang/>
        </w:rPr>
        <w:t xml:space="preserve">, 67 F.3d 641, 95-2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50,540 (7th Cir. 1995).</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Retrieved on 22 November 2006 from </w:t>
      </w:r>
      <w:hyperlink r:id="rId154" w:history="1">
        <w:r>
          <w:rPr>
            <w:rStyle w:val="Hyperlink"/>
            <w:lang/>
          </w:rPr>
          <w:t>http://www.thelawthatneverwas.com/new/ratification.asp</w:t>
        </w:r>
      </w:hyperlink>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See </w:t>
      </w:r>
      <w:proofErr w:type="spellStart"/>
      <w:r>
        <w:rPr>
          <w:rStyle w:val="reference-text"/>
          <w:i/>
          <w:iCs/>
          <w:lang/>
        </w:rPr>
        <w:t>Brushaber</w:t>
      </w:r>
      <w:proofErr w:type="spellEnd"/>
      <w:r>
        <w:rPr>
          <w:rStyle w:val="reference-text"/>
          <w:i/>
          <w:iCs/>
          <w:lang/>
        </w:rPr>
        <w:t xml:space="preserve"> v. Union Pacific Railroad</w:t>
      </w:r>
      <w:r>
        <w:rPr>
          <w:rStyle w:val="reference-text"/>
          <w:lang/>
        </w:rPr>
        <w:t xml:space="preserve">, 240 U.S. 1 (1916); text available at </w:t>
      </w:r>
      <w:hyperlink r:id="rId155" w:history="1">
        <w:r>
          <w:rPr>
            <w:rStyle w:val="Hyperlink"/>
            <w:lang/>
          </w:rPr>
          <w:t>http://caselaw.lp.findlaw.com/scripts/getcase.pl?navby=case&amp;court=us&amp;vol=240&amp;page=1</w:t>
        </w:r>
      </w:hyperlink>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The statement was found at the caption near Benson's picture at bottom of web page. Retrieved on 22 November 2006 from </w:t>
      </w:r>
      <w:hyperlink r:id="rId156" w:history="1">
        <w:r>
          <w:rPr>
            <w:rStyle w:val="Hyperlink"/>
            <w:lang/>
          </w:rPr>
          <w:t>[5]</w:t>
        </w:r>
      </w:hyperlink>
      <w:r>
        <w:rPr>
          <w:rStyle w:val="reference-text"/>
          <w:lang/>
        </w:rPr>
        <w:t>. As of January 30, 2008, after the issuance of a permanent injunction against Benson (see below), this language apparently was removed.</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As quoted in the court decision on April 6, 2009, at entry 58, p. 8 </w:t>
      </w:r>
      <w:r>
        <w:rPr>
          <w:rStyle w:val="reference-text"/>
          <w:i/>
          <w:iCs/>
          <w:lang/>
        </w:rPr>
        <w:t>United States v. Benson</w:t>
      </w:r>
      <w:r>
        <w:rPr>
          <w:rStyle w:val="reference-text"/>
          <w:lang/>
        </w:rPr>
        <w:t>, case no. 08-1312 and case no. 08-1586, United States Court of Appeals for the Seventh Circuit.</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941 F.2d 598, 91-2 U.S. Tax </w:t>
      </w:r>
      <w:proofErr w:type="spellStart"/>
      <w:r>
        <w:rPr>
          <w:rStyle w:val="reference-text"/>
          <w:lang/>
        </w:rPr>
        <w:t>Cas</w:t>
      </w:r>
      <w:proofErr w:type="spellEnd"/>
      <w:r>
        <w:rPr>
          <w:rStyle w:val="reference-text"/>
          <w:lang/>
        </w:rPr>
        <w:t xml:space="preserve">. (CCH) </w:t>
      </w:r>
      <w:proofErr w:type="spellStart"/>
      <w:r>
        <w:rPr>
          <w:rStyle w:val="reference-text"/>
          <w:lang/>
        </w:rPr>
        <w:t>paragr</w:t>
      </w:r>
      <w:proofErr w:type="spellEnd"/>
      <w:r>
        <w:rPr>
          <w:rStyle w:val="reference-text"/>
          <w:lang/>
        </w:rPr>
        <w:t>. 50,437 (7th Cir. 1991).</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Memorandum Opinion, p. 14, Dec. 17, 2007, docket entry 106, </w:t>
      </w:r>
      <w:r>
        <w:rPr>
          <w:rStyle w:val="reference-text"/>
          <w:i/>
          <w:iCs/>
          <w:lang/>
        </w:rPr>
        <w:t>United States v. Benson</w:t>
      </w:r>
      <w:r>
        <w:rPr>
          <w:rStyle w:val="reference-text"/>
          <w:lang/>
        </w:rPr>
        <w:t>, case no. 1:04-cv-07403, United States District Court for the Northern District of Illinois, Eastern Division.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Memorandum Opinion, p. 9, Dec. 17, 2007, docket entry 106, </w:t>
      </w:r>
      <w:r>
        <w:rPr>
          <w:rStyle w:val="reference-text"/>
          <w:i/>
          <w:iCs/>
          <w:lang/>
        </w:rPr>
        <w:t>United States v. Benson</w:t>
      </w:r>
      <w:r>
        <w:rPr>
          <w:rStyle w:val="reference-text"/>
          <w:lang/>
        </w:rPr>
        <w:t>, case no. 1:04-cv-07403, United States District Court for the Northern District of Illinois, Eastern Division.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Memorandum Opinion, p. 10, Dec. 17, 2007, docket entry 106, </w:t>
      </w:r>
      <w:r>
        <w:rPr>
          <w:rStyle w:val="reference-text"/>
          <w:i/>
          <w:iCs/>
          <w:lang/>
        </w:rPr>
        <w:t>United States v. Benson</w:t>
      </w:r>
      <w:r>
        <w:rPr>
          <w:rStyle w:val="reference-text"/>
          <w:lang/>
        </w:rPr>
        <w:t>, case no. 1:04-cv-07403, United States District Court for the Northern District of Illinois, Eastern Division.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Memorandum Opinion, p. 2, Dec. 17, 2007, docket entry 106, </w:t>
      </w:r>
      <w:r>
        <w:rPr>
          <w:rStyle w:val="reference-text"/>
          <w:i/>
          <w:iCs/>
          <w:lang/>
        </w:rPr>
        <w:t>United States v. Benson</w:t>
      </w:r>
      <w:r>
        <w:rPr>
          <w:rStyle w:val="reference-text"/>
          <w:lang/>
        </w:rPr>
        <w:t>, case no. 1:04-cv-07403, United States District Court for the Northern District of Illinois, Eastern Division.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Memorandum Opinion, p. 22, Dec. 17, 2007, docket entry 106, </w:t>
      </w:r>
      <w:r>
        <w:rPr>
          <w:rStyle w:val="reference-text"/>
          <w:i/>
          <w:iCs/>
          <w:lang/>
        </w:rPr>
        <w:t>United States v. Benson</w:t>
      </w:r>
      <w:r>
        <w:rPr>
          <w:rStyle w:val="reference-text"/>
          <w:lang/>
        </w:rPr>
        <w:t>, case no. 1:04-cv-07403, United States District Court for the Northern District of Illinois, Eastern Division.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Memorandum Opinion, p. 9 &amp; p. 20, Dec. 17, 2007, docket entry 106, </w:t>
      </w:r>
      <w:r>
        <w:rPr>
          <w:rStyle w:val="reference-text"/>
          <w:i/>
          <w:iCs/>
          <w:lang/>
        </w:rPr>
        <w:t>United States v. Benson</w:t>
      </w:r>
      <w:r>
        <w:rPr>
          <w:rStyle w:val="reference-text"/>
          <w:lang/>
        </w:rPr>
        <w:t>, case no. 1:04-cv-07403, United States District Court for the Northern District of Illinois, Eastern Division.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Permanent Injunction, Jan. 10, 2008, docket entry 116, </w:t>
      </w:r>
      <w:r>
        <w:rPr>
          <w:rStyle w:val="reference-text"/>
          <w:i/>
          <w:iCs/>
          <w:lang/>
        </w:rPr>
        <w:t>United States v. Benson</w:t>
      </w:r>
      <w:r>
        <w:rPr>
          <w:rStyle w:val="reference-text"/>
          <w:lang/>
        </w:rPr>
        <w:t>, case no. 1:04-cv-07403, United States District Court for the Northern District of Illinois, Eastern Division.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News Release, </w:t>
      </w:r>
      <w:r>
        <w:rPr>
          <w:rStyle w:val="reference-text"/>
          <w:i/>
          <w:iCs/>
          <w:lang/>
        </w:rPr>
        <w:t>Federal Court Bars Illinois Man from Promoting Fraudulent Tax Scam; William J. Benson Sold Bogus “Defenses” to Criminal Tax Prosecution</w:t>
      </w:r>
      <w:r>
        <w:rPr>
          <w:rStyle w:val="reference-text"/>
          <w:lang/>
        </w:rPr>
        <w:t xml:space="preserve">, Jan. 11, 2008, U.S. Dep't of Justice, at </w:t>
      </w:r>
      <w:hyperlink r:id="rId157" w:history="1">
        <w:r>
          <w:rPr>
            <w:rStyle w:val="Hyperlink"/>
            <w:lang/>
          </w:rPr>
          <w:t>[6]</w:t>
        </w:r>
      </w:hyperlink>
      <w:r>
        <w:rPr>
          <w:rStyle w:val="reference-text"/>
          <w:lang/>
        </w:rPr>
        <w:t>.</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Entry 58, p. 14, April 6, 2009, case no. 08-1312 and case no. 08-1586, </w:t>
      </w:r>
      <w:r>
        <w:rPr>
          <w:rStyle w:val="reference-text"/>
          <w:i/>
          <w:iCs/>
          <w:lang/>
        </w:rPr>
        <w:t>United States v. Benson</w:t>
      </w:r>
      <w:r>
        <w:rPr>
          <w:rStyle w:val="reference-text"/>
          <w:lang/>
        </w:rPr>
        <w:t xml:space="preserve">, 561 F.3d 718 (7th Cir. 2009), </w:t>
      </w:r>
      <w:r>
        <w:rPr>
          <w:rStyle w:val="reference-text"/>
          <w:i/>
          <w:iCs/>
          <w:lang/>
        </w:rPr>
        <w:t>cert. denied</w:t>
      </w:r>
      <w:r>
        <w:rPr>
          <w:rStyle w:val="reference-text"/>
          <w:lang/>
        </w:rPr>
        <w:t>, no. 09-464 (Nov. 30, 2009).</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Entry 58, pp. 8 &amp; 9, April 6, 2009, case no. 08-1312 and case no. 08-1586, </w:t>
      </w:r>
      <w:r>
        <w:rPr>
          <w:rStyle w:val="reference-text"/>
          <w:i/>
          <w:iCs/>
          <w:lang/>
        </w:rPr>
        <w:t>United States v. Benson</w:t>
      </w:r>
      <w:r>
        <w:rPr>
          <w:rStyle w:val="reference-text"/>
          <w:lang/>
        </w:rPr>
        <w:t xml:space="preserve">, 561 F.3d 718 (7th Cir. 2009), </w:t>
      </w:r>
      <w:r>
        <w:rPr>
          <w:rStyle w:val="reference-text"/>
          <w:i/>
          <w:iCs/>
          <w:lang/>
        </w:rPr>
        <w:t>cert. denied</w:t>
      </w:r>
      <w:r>
        <w:rPr>
          <w:rStyle w:val="reference-text"/>
          <w:lang/>
        </w:rPr>
        <w:t>, no. 09-464 (Nov. 30, 2009).</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Entry 58, p. 18, April 6, 2009, case no. 08-1312 and case no. 08-1586, </w:t>
      </w:r>
      <w:r>
        <w:rPr>
          <w:rStyle w:val="reference-text"/>
          <w:i/>
          <w:iCs/>
          <w:lang/>
        </w:rPr>
        <w:t>United States v. Benson</w:t>
      </w:r>
      <w:r>
        <w:rPr>
          <w:rStyle w:val="reference-text"/>
          <w:lang/>
        </w:rPr>
        <w:t xml:space="preserve">, 561 F.3d 718 (7th Cir. 2009), </w:t>
      </w:r>
      <w:r>
        <w:rPr>
          <w:rStyle w:val="reference-text"/>
          <w:i/>
          <w:iCs/>
          <w:lang/>
        </w:rPr>
        <w:t>cert. denied</w:t>
      </w:r>
      <w:r>
        <w:rPr>
          <w:rStyle w:val="reference-text"/>
          <w:lang/>
        </w:rPr>
        <w:t>, no. 09-464 (Nov. 30, 2009).</w:t>
      </w:r>
    </w:p>
    <w:p w:rsidR="00160BEB" w:rsidRDefault="00160BEB" w:rsidP="00160BEB">
      <w:pPr>
        <w:numPr>
          <w:ilvl w:val="1"/>
          <w:numId w:val="42"/>
        </w:numPr>
        <w:spacing w:before="100" w:beforeAutospacing="1" w:after="100" w:afterAutospacing="1" w:line="240" w:lineRule="auto"/>
        <w:ind w:left="720"/>
        <w:rPr>
          <w:lang/>
        </w:rPr>
      </w:pPr>
      <w:r>
        <w:rPr>
          <w:rStyle w:val="reference-text"/>
          <w:i/>
          <w:iCs/>
          <w:lang/>
        </w:rPr>
        <w:t>Cert. denied</w:t>
      </w:r>
      <w:r>
        <w:rPr>
          <w:rStyle w:val="reference-text"/>
          <w:lang/>
        </w:rPr>
        <w:t>, no. 09-464 (Nov. 30, 2009).</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Press Release, March 6, 2008, "Dansville Man Sentenced For Tax Evasion," Office of the United States Attorney, Western District of Michigan, Grand Rapids, Michigan.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Judgment, March 6, 2008, </w:t>
      </w:r>
      <w:r>
        <w:rPr>
          <w:rStyle w:val="reference-text"/>
          <w:i/>
          <w:iCs/>
          <w:lang/>
        </w:rPr>
        <w:t>United States v. Charles Evans Hughes</w:t>
      </w:r>
      <w:r>
        <w:rPr>
          <w:rStyle w:val="reference-text"/>
          <w:lang/>
        </w:rPr>
        <w:t>, docket entry 46, case no. 1:07-cr-00085-GJQ, U.S. District Court for the Western District of Michigan.</w:t>
      </w:r>
    </w:p>
    <w:p w:rsidR="00160BEB" w:rsidRDefault="00160BEB" w:rsidP="00160BEB">
      <w:pPr>
        <w:numPr>
          <w:ilvl w:val="1"/>
          <w:numId w:val="42"/>
        </w:numPr>
        <w:spacing w:before="100" w:beforeAutospacing="1" w:after="100" w:afterAutospacing="1" w:line="240" w:lineRule="auto"/>
        <w:ind w:left="720"/>
        <w:rPr>
          <w:lang/>
        </w:rPr>
      </w:pPr>
      <w:r>
        <w:rPr>
          <w:rStyle w:val="reference-text"/>
          <w:lang/>
        </w:rPr>
        <w:t xml:space="preserve">Prisoner number 13339-040, Federal Bureau of Prisons, U.S. Department of Justice, at </w:t>
      </w:r>
      <w:hyperlink r:id="rId158" w:history="1">
        <w:r>
          <w:rPr>
            <w:rStyle w:val="Hyperlink"/>
            <w:lang/>
          </w:rPr>
          <w:t>[7]</w:t>
        </w:r>
      </w:hyperlink>
      <w:r>
        <w:rPr>
          <w:rStyle w:val="reference-text"/>
          <w:lang/>
        </w:rPr>
        <w:t>.</w:t>
      </w:r>
    </w:p>
    <w:p w:rsidR="00160BEB" w:rsidRDefault="00160BEB" w:rsidP="00160BEB">
      <w:pPr>
        <w:pStyle w:val="Heading2"/>
        <w:rPr>
          <w:lang/>
        </w:rPr>
      </w:pPr>
      <w:r>
        <w:rPr>
          <w:rStyle w:val="mw-headline"/>
          <w:lang/>
        </w:rPr>
        <w:t>References</w:t>
      </w:r>
    </w:p>
    <w:p w:rsidR="00160BEB" w:rsidRDefault="00160BEB" w:rsidP="00160BEB">
      <w:pPr>
        <w:numPr>
          <w:ilvl w:val="0"/>
          <w:numId w:val="43"/>
        </w:numPr>
        <w:spacing w:before="100" w:beforeAutospacing="1" w:after="100" w:afterAutospacing="1" w:line="240" w:lineRule="auto"/>
        <w:rPr>
          <w:lang/>
        </w:rPr>
      </w:pPr>
      <w:r>
        <w:rPr>
          <w:rStyle w:val="citation"/>
          <w:lang/>
        </w:rPr>
        <w:t xml:space="preserve">Benson, Bill; M. J. Beckman (1985–86). </w:t>
      </w:r>
      <w:r>
        <w:rPr>
          <w:rStyle w:val="citation"/>
          <w:i/>
          <w:iCs/>
          <w:lang/>
        </w:rPr>
        <w:t>The Law That Never Was: The Fraud of the 16th Amendment and Personal Income Tax</w:t>
      </w:r>
      <w:r>
        <w:rPr>
          <w:rStyle w:val="citation"/>
          <w:lang/>
        </w:rPr>
        <w:t xml:space="preserve">. South Holland, IL (Box 550, South Holland 60473): Constitutional Research Association. </w:t>
      </w:r>
      <w:hyperlink r:id="rId159" w:tooltip="OCLC" w:history="1">
        <w:r>
          <w:rPr>
            <w:rStyle w:val="Hyperlink"/>
            <w:lang/>
          </w:rPr>
          <w:t>OCLC</w:t>
        </w:r>
      </w:hyperlink>
      <w:r>
        <w:rPr>
          <w:rStyle w:val="citation"/>
          <w:lang/>
        </w:rPr>
        <w:t> </w:t>
      </w:r>
      <w:hyperlink r:id="rId160" w:history="1">
        <w:r>
          <w:rPr>
            <w:rStyle w:val="Hyperlink"/>
            <w:lang/>
          </w:rPr>
          <w:t>12357966</w:t>
        </w:r>
      </w:hyperlink>
      <w:r>
        <w:rPr>
          <w:rStyle w:val="citation"/>
          <w:lang/>
        </w:rPr>
        <w:t>.</w:t>
      </w:r>
    </w:p>
    <w:p w:rsidR="00160BEB" w:rsidRDefault="00160BEB" w:rsidP="00160BEB">
      <w:pPr>
        <w:pStyle w:val="Heading2"/>
        <w:rPr>
          <w:lang/>
        </w:rPr>
      </w:pPr>
      <w:r>
        <w:rPr>
          <w:rStyle w:val="mw-headline"/>
          <w:lang/>
        </w:rPr>
        <w:t>External links</w:t>
      </w:r>
    </w:p>
    <w:p w:rsidR="00160BEB" w:rsidRDefault="00160BEB" w:rsidP="00160BEB">
      <w:pPr>
        <w:numPr>
          <w:ilvl w:val="0"/>
          <w:numId w:val="44"/>
        </w:numPr>
        <w:spacing w:before="100" w:beforeAutospacing="1" w:after="100" w:afterAutospacing="1" w:line="240" w:lineRule="auto"/>
        <w:rPr>
          <w:lang/>
        </w:rPr>
      </w:pPr>
      <w:hyperlink r:id="rId161" w:history="1">
        <w:r>
          <w:rPr>
            <w:rStyle w:val="Hyperlink"/>
            <w:lang/>
          </w:rPr>
          <w:t>Anti-Tax Law Evasion Schemes - Law and Arguments</w:t>
        </w:r>
      </w:hyperlink>
      <w:r>
        <w:rPr>
          <w:lang/>
        </w:rPr>
        <w:t xml:space="preserve">, from the </w:t>
      </w:r>
      <w:hyperlink r:id="rId162" w:tooltip="Internal Revenue Service" w:history="1">
        <w:r>
          <w:rPr>
            <w:rStyle w:val="Hyperlink"/>
            <w:lang/>
          </w:rPr>
          <w:t>Internal Revenue Service</w:t>
        </w:r>
      </w:hyperlink>
      <w:r>
        <w:rPr>
          <w:lang/>
        </w:rPr>
        <w:t>.</w:t>
      </w:r>
    </w:p>
    <w:p w:rsidR="00160BEB" w:rsidRDefault="00160BEB" w:rsidP="00160BEB">
      <w:pPr>
        <w:numPr>
          <w:ilvl w:val="0"/>
          <w:numId w:val="44"/>
        </w:numPr>
        <w:spacing w:before="100" w:beforeAutospacing="1" w:after="100" w:afterAutospacing="1" w:line="240" w:lineRule="auto"/>
        <w:rPr>
          <w:lang/>
        </w:rPr>
      </w:pPr>
      <w:hyperlink r:id="rId163" w:history="1">
        <w:r>
          <w:rPr>
            <w:rStyle w:val="Hyperlink"/>
            <w:lang/>
          </w:rPr>
          <w:t>TheLawThatNeverWas.com</w:t>
        </w:r>
      </w:hyperlink>
      <w:r>
        <w:rPr>
          <w:lang/>
        </w:rPr>
        <w:t>, Bill Benson's website.</w:t>
      </w:r>
    </w:p>
    <w:p w:rsidR="00160BEB" w:rsidRDefault="00160BEB" w:rsidP="00160BEB">
      <w:pPr>
        <w:numPr>
          <w:ilvl w:val="0"/>
          <w:numId w:val="44"/>
        </w:numPr>
        <w:spacing w:before="100" w:beforeAutospacing="1" w:after="100" w:afterAutospacing="1" w:line="240" w:lineRule="auto"/>
        <w:rPr>
          <w:lang/>
        </w:rPr>
      </w:pPr>
      <w:hyperlink r:id="rId164" w:history="1">
        <w:r>
          <w:rPr>
            <w:rStyle w:val="Hyperlink"/>
            <w:lang/>
          </w:rPr>
          <w:t xml:space="preserve">Daniel B. Evans </w:t>
        </w:r>
        <w:r>
          <w:rPr>
            <w:rStyle w:val="Hyperlink"/>
            <w:i/>
            <w:iCs/>
            <w:lang/>
          </w:rPr>
          <w:t>et al.</w:t>
        </w:r>
        <w:r>
          <w:rPr>
            <w:rStyle w:val="Hyperlink"/>
            <w:lang/>
          </w:rPr>
          <w:t xml:space="preserve">, "William J. Benson," from </w:t>
        </w:r>
        <w:r>
          <w:rPr>
            <w:rStyle w:val="Hyperlink"/>
            <w:i/>
            <w:iCs/>
            <w:lang/>
          </w:rPr>
          <w:t>Tax Protester Dossiers: Gurus and Other Big Fish</w:t>
        </w:r>
      </w:hyperlink>
    </w:p>
    <w:p w:rsidR="00160BEB" w:rsidRDefault="00160BEB" w:rsidP="00160BEB">
      <w:pPr>
        <w:spacing w:after="0"/>
      </w:pPr>
      <w:hyperlink r:id="rId165" w:tooltip="Help:Category" w:history="1">
        <w:r>
          <w:rPr>
            <w:rStyle w:val="Hyperlink"/>
          </w:rPr>
          <w:t>Categories</w:t>
        </w:r>
      </w:hyperlink>
      <w:r>
        <w:t xml:space="preserve">: </w:t>
      </w:r>
    </w:p>
    <w:p w:rsidR="00160BEB" w:rsidRDefault="00160BEB" w:rsidP="00160BEB">
      <w:pPr>
        <w:numPr>
          <w:ilvl w:val="0"/>
          <w:numId w:val="45"/>
        </w:numPr>
        <w:spacing w:before="100" w:beforeAutospacing="1" w:after="100" w:afterAutospacing="1" w:line="240" w:lineRule="auto"/>
      </w:pPr>
      <w:hyperlink r:id="rId166" w:tooltip="Category:1985 books" w:history="1">
        <w:r>
          <w:rPr>
            <w:rStyle w:val="Hyperlink"/>
          </w:rPr>
          <w:t>1985 books</w:t>
        </w:r>
      </w:hyperlink>
    </w:p>
    <w:p w:rsidR="00160BEB" w:rsidRDefault="00160BEB" w:rsidP="00160BEB">
      <w:pPr>
        <w:numPr>
          <w:ilvl w:val="0"/>
          <w:numId w:val="45"/>
        </w:numPr>
        <w:spacing w:before="100" w:beforeAutospacing="1" w:after="100" w:afterAutospacing="1" w:line="240" w:lineRule="auto"/>
      </w:pPr>
      <w:hyperlink r:id="rId167" w:tooltip="Category:Books about politics of the United States" w:history="1">
        <w:r>
          <w:rPr>
            <w:rStyle w:val="Hyperlink"/>
          </w:rPr>
          <w:t>Books about politics of the United States</w:t>
        </w:r>
      </w:hyperlink>
    </w:p>
    <w:p w:rsidR="00160BEB" w:rsidRDefault="00160BEB" w:rsidP="00160BEB">
      <w:pPr>
        <w:numPr>
          <w:ilvl w:val="0"/>
          <w:numId w:val="45"/>
        </w:numPr>
        <w:spacing w:before="100" w:beforeAutospacing="1" w:after="100" w:afterAutospacing="1" w:line="240" w:lineRule="auto"/>
      </w:pPr>
      <w:hyperlink r:id="rId168" w:tooltip="Category:Fraud in the United States" w:history="1">
        <w:r>
          <w:rPr>
            <w:rStyle w:val="Hyperlink"/>
          </w:rPr>
          <w:t>Fraud in the United States</w:t>
        </w:r>
      </w:hyperlink>
    </w:p>
    <w:p w:rsidR="00160BEB" w:rsidRDefault="00160BEB" w:rsidP="00160BEB">
      <w:pPr>
        <w:numPr>
          <w:ilvl w:val="0"/>
          <w:numId w:val="45"/>
        </w:numPr>
        <w:spacing w:before="100" w:beforeAutospacing="1" w:after="100" w:afterAutospacing="1" w:line="240" w:lineRule="auto"/>
      </w:pPr>
      <w:hyperlink r:id="rId169" w:tooltip="Category:Taxation in the United States" w:history="1">
        <w:r>
          <w:rPr>
            <w:rStyle w:val="Hyperlink"/>
          </w:rPr>
          <w:t>Taxation in the United States</w:t>
        </w:r>
      </w:hyperlink>
    </w:p>
    <w:p w:rsidR="00B90A43" w:rsidRDefault="00B90A43" w:rsidP="00160BEB">
      <w:pPr>
        <w:spacing w:before="100" w:beforeAutospacing="1" w:after="100" w:afterAutospacing="1" w:line="240" w:lineRule="auto"/>
      </w:pPr>
    </w:p>
    <w:sectPr w:rsidR="00B90A43" w:rsidSect="00434C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08E"/>
    <w:multiLevelType w:val="multilevel"/>
    <w:tmpl w:val="EE52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7622E"/>
    <w:multiLevelType w:val="multilevel"/>
    <w:tmpl w:val="ACDE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B06EE"/>
    <w:multiLevelType w:val="multilevel"/>
    <w:tmpl w:val="24A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42749"/>
    <w:multiLevelType w:val="multilevel"/>
    <w:tmpl w:val="A33E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9246A"/>
    <w:multiLevelType w:val="multilevel"/>
    <w:tmpl w:val="6B2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2507D"/>
    <w:multiLevelType w:val="multilevel"/>
    <w:tmpl w:val="1F6E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56332"/>
    <w:multiLevelType w:val="multilevel"/>
    <w:tmpl w:val="955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35703"/>
    <w:multiLevelType w:val="multilevel"/>
    <w:tmpl w:val="D062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7387C"/>
    <w:multiLevelType w:val="multilevel"/>
    <w:tmpl w:val="5C0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C27DA"/>
    <w:multiLevelType w:val="multilevel"/>
    <w:tmpl w:val="2998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0F4AE6"/>
    <w:multiLevelType w:val="multilevel"/>
    <w:tmpl w:val="2D08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2495A"/>
    <w:multiLevelType w:val="multilevel"/>
    <w:tmpl w:val="66542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554A05"/>
    <w:multiLevelType w:val="multilevel"/>
    <w:tmpl w:val="F1A0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D3AF5"/>
    <w:multiLevelType w:val="multilevel"/>
    <w:tmpl w:val="299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C61A5D"/>
    <w:multiLevelType w:val="multilevel"/>
    <w:tmpl w:val="55E0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B41F14"/>
    <w:multiLevelType w:val="multilevel"/>
    <w:tmpl w:val="D3C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B11151"/>
    <w:multiLevelType w:val="multilevel"/>
    <w:tmpl w:val="15A8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802F65"/>
    <w:multiLevelType w:val="multilevel"/>
    <w:tmpl w:val="07FC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A17582"/>
    <w:multiLevelType w:val="multilevel"/>
    <w:tmpl w:val="9C9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C00036"/>
    <w:multiLevelType w:val="multilevel"/>
    <w:tmpl w:val="685E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6D6306"/>
    <w:multiLevelType w:val="multilevel"/>
    <w:tmpl w:val="52B8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8209DD"/>
    <w:multiLevelType w:val="multilevel"/>
    <w:tmpl w:val="153E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33AFD"/>
    <w:multiLevelType w:val="multilevel"/>
    <w:tmpl w:val="9928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B32E96"/>
    <w:multiLevelType w:val="multilevel"/>
    <w:tmpl w:val="F3BA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5A7395"/>
    <w:multiLevelType w:val="multilevel"/>
    <w:tmpl w:val="FD52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831C7F"/>
    <w:multiLevelType w:val="multilevel"/>
    <w:tmpl w:val="F6D8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582E7D"/>
    <w:multiLevelType w:val="multilevel"/>
    <w:tmpl w:val="4CF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C27905"/>
    <w:multiLevelType w:val="multilevel"/>
    <w:tmpl w:val="0756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233D4"/>
    <w:multiLevelType w:val="multilevel"/>
    <w:tmpl w:val="0D98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330A4C"/>
    <w:multiLevelType w:val="multilevel"/>
    <w:tmpl w:val="6482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96633B"/>
    <w:multiLevelType w:val="multilevel"/>
    <w:tmpl w:val="1B52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8A4405"/>
    <w:multiLevelType w:val="multilevel"/>
    <w:tmpl w:val="505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3C6333"/>
    <w:multiLevelType w:val="multilevel"/>
    <w:tmpl w:val="DD36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751FEC"/>
    <w:multiLevelType w:val="multilevel"/>
    <w:tmpl w:val="C1BC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726126"/>
    <w:multiLevelType w:val="multilevel"/>
    <w:tmpl w:val="5318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1E0421"/>
    <w:multiLevelType w:val="multilevel"/>
    <w:tmpl w:val="30B2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31500D"/>
    <w:multiLevelType w:val="multilevel"/>
    <w:tmpl w:val="7FA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F8583E"/>
    <w:multiLevelType w:val="multilevel"/>
    <w:tmpl w:val="3AD2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562C49"/>
    <w:multiLevelType w:val="multilevel"/>
    <w:tmpl w:val="59C69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2F4878"/>
    <w:multiLevelType w:val="multilevel"/>
    <w:tmpl w:val="A94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CA035E"/>
    <w:multiLevelType w:val="multilevel"/>
    <w:tmpl w:val="D2A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481986"/>
    <w:multiLevelType w:val="multilevel"/>
    <w:tmpl w:val="A59A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442519"/>
    <w:multiLevelType w:val="multilevel"/>
    <w:tmpl w:val="DDAC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B726BC"/>
    <w:multiLevelType w:val="multilevel"/>
    <w:tmpl w:val="6FB0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21667C"/>
    <w:multiLevelType w:val="multilevel"/>
    <w:tmpl w:val="E6BA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35"/>
  </w:num>
  <w:num w:numId="4">
    <w:abstractNumId w:val="29"/>
  </w:num>
  <w:num w:numId="5">
    <w:abstractNumId w:val="40"/>
  </w:num>
  <w:num w:numId="6">
    <w:abstractNumId w:val="20"/>
  </w:num>
  <w:num w:numId="7">
    <w:abstractNumId w:val="32"/>
  </w:num>
  <w:num w:numId="8">
    <w:abstractNumId w:val="14"/>
  </w:num>
  <w:num w:numId="9">
    <w:abstractNumId w:val="30"/>
  </w:num>
  <w:num w:numId="10">
    <w:abstractNumId w:val="7"/>
  </w:num>
  <w:num w:numId="11">
    <w:abstractNumId w:val="38"/>
  </w:num>
  <w:num w:numId="12">
    <w:abstractNumId w:val="37"/>
  </w:num>
  <w:num w:numId="13">
    <w:abstractNumId w:val="42"/>
  </w:num>
  <w:num w:numId="14">
    <w:abstractNumId w:val="36"/>
  </w:num>
  <w:num w:numId="15">
    <w:abstractNumId w:val="41"/>
  </w:num>
  <w:num w:numId="16">
    <w:abstractNumId w:val="17"/>
  </w:num>
  <w:num w:numId="17">
    <w:abstractNumId w:val="21"/>
  </w:num>
  <w:num w:numId="18">
    <w:abstractNumId w:val="0"/>
  </w:num>
  <w:num w:numId="19">
    <w:abstractNumId w:val="16"/>
  </w:num>
  <w:num w:numId="20">
    <w:abstractNumId w:val="25"/>
  </w:num>
  <w:num w:numId="21">
    <w:abstractNumId w:val="33"/>
  </w:num>
  <w:num w:numId="22">
    <w:abstractNumId w:val="9"/>
  </w:num>
  <w:num w:numId="23">
    <w:abstractNumId w:val="22"/>
  </w:num>
  <w:num w:numId="24">
    <w:abstractNumId w:val="34"/>
  </w:num>
  <w:num w:numId="25">
    <w:abstractNumId w:val="1"/>
  </w:num>
  <w:num w:numId="26">
    <w:abstractNumId w:val="28"/>
  </w:num>
  <w:num w:numId="27">
    <w:abstractNumId w:val="31"/>
  </w:num>
  <w:num w:numId="28">
    <w:abstractNumId w:val="13"/>
  </w:num>
  <w:num w:numId="29">
    <w:abstractNumId w:val="3"/>
  </w:num>
  <w:num w:numId="30">
    <w:abstractNumId w:val="6"/>
  </w:num>
  <w:num w:numId="31">
    <w:abstractNumId w:val="15"/>
  </w:num>
  <w:num w:numId="32">
    <w:abstractNumId w:val="12"/>
  </w:num>
  <w:num w:numId="33">
    <w:abstractNumId w:val="2"/>
  </w:num>
  <w:num w:numId="34">
    <w:abstractNumId w:val="19"/>
  </w:num>
  <w:num w:numId="35">
    <w:abstractNumId w:val="4"/>
  </w:num>
  <w:num w:numId="36">
    <w:abstractNumId w:val="24"/>
  </w:num>
  <w:num w:numId="37">
    <w:abstractNumId w:val="27"/>
  </w:num>
  <w:num w:numId="38">
    <w:abstractNumId w:val="26"/>
  </w:num>
  <w:num w:numId="39">
    <w:abstractNumId w:val="44"/>
  </w:num>
  <w:num w:numId="40">
    <w:abstractNumId w:val="43"/>
  </w:num>
  <w:num w:numId="41">
    <w:abstractNumId w:val="5"/>
  </w:num>
  <w:num w:numId="42">
    <w:abstractNumId w:val="11"/>
  </w:num>
  <w:num w:numId="43">
    <w:abstractNumId w:val="18"/>
  </w:num>
  <w:num w:numId="44">
    <w:abstractNumId w:val="39"/>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defaultTabStop w:val="720"/>
  <w:characterSpacingControl w:val="doNotCompress"/>
  <w:compat/>
  <w:rsids>
    <w:rsidRoot w:val="00FC716B"/>
    <w:rsid w:val="000C4261"/>
    <w:rsid w:val="00160BEB"/>
    <w:rsid w:val="00434C77"/>
    <w:rsid w:val="00435882"/>
    <w:rsid w:val="005F43FC"/>
    <w:rsid w:val="006F7AE2"/>
    <w:rsid w:val="008D090D"/>
    <w:rsid w:val="00920A66"/>
    <w:rsid w:val="00A3679E"/>
    <w:rsid w:val="00AE033F"/>
    <w:rsid w:val="00B90A43"/>
    <w:rsid w:val="00BF5265"/>
    <w:rsid w:val="00D77DCD"/>
    <w:rsid w:val="00FB6CB1"/>
    <w:rsid w:val="00FC7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77"/>
  </w:style>
  <w:style w:type="paragraph" w:styleId="Heading1">
    <w:name w:val="heading 1"/>
    <w:basedOn w:val="Normal"/>
    <w:next w:val="Normal"/>
    <w:link w:val="Heading1Char"/>
    <w:uiPriority w:val="9"/>
    <w:qFormat/>
    <w:rsid w:val="00160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C71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FC716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16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FC716B"/>
    <w:rPr>
      <w:rFonts w:ascii="Times New Roman" w:eastAsia="Times New Roman" w:hAnsi="Times New Roman" w:cs="Times New Roman"/>
      <w:b/>
      <w:bCs/>
      <w:sz w:val="20"/>
      <w:szCs w:val="20"/>
    </w:rPr>
  </w:style>
  <w:style w:type="paragraph" w:styleId="NormalWeb">
    <w:name w:val="Normal (Web)"/>
    <w:basedOn w:val="Normal"/>
    <w:uiPriority w:val="99"/>
    <w:unhideWhenUsed/>
    <w:rsid w:val="00FC71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716B"/>
    <w:rPr>
      <w:color w:val="0000FF"/>
      <w:u w:val="single"/>
    </w:rPr>
  </w:style>
  <w:style w:type="character" w:styleId="FollowedHyperlink">
    <w:name w:val="FollowedHyperlink"/>
    <w:basedOn w:val="DefaultParagraphFont"/>
    <w:uiPriority w:val="99"/>
    <w:semiHidden/>
    <w:unhideWhenUsed/>
    <w:rsid w:val="00FC716B"/>
    <w:rPr>
      <w:color w:val="800080"/>
      <w:u w:val="single"/>
    </w:rPr>
  </w:style>
  <w:style w:type="character" w:customStyle="1" w:styleId="tocnumber">
    <w:name w:val="tocnumber"/>
    <w:basedOn w:val="DefaultParagraphFont"/>
    <w:rsid w:val="00FC716B"/>
  </w:style>
  <w:style w:type="character" w:customStyle="1" w:styleId="toctext">
    <w:name w:val="toctext"/>
    <w:basedOn w:val="DefaultParagraphFont"/>
    <w:rsid w:val="00FC716B"/>
  </w:style>
  <w:style w:type="character" w:customStyle="1" w:styleId="editsection">
    <w:name w:val="editsection"/>
    <w:basedOn w:val="DefaultParagraphFont"/>
    <w:rsid w:val="00FC716B"/>
  </w:style>
  <w:style w:type="character" w:customStyle="1" w:styleId="mw-headline">
    <w:name w:val="mw-headline"/>
    <w:basedOn w:val="DefaultParagraphFont"/>
    <w:rsid w:val="00FC716B"/>
  </w:style>
  <w:style w:type="character" w:customStyle="1" w:styleId="citation">
    <w:name w:val="citation"/>
    <w:basedOn w:val="DefaultParagraphFont"/>
    <w:rsid w:val="00FC716B"/>
  </w:style>
  <w:style w:type="character" w:customStyle="1" w:styleId="z3988">
    <w:name w:val="z3988"/>
    <w:basedOn w:val="DefaultParagraphFont"/>
    <w:rsid w:val="00FC716B"/>
  </w:style>
  <w:style w:type="paragraph" w:styleId="z-TopofForm">
    <w:name w:val="HTML Top of Form"/>
    <w:basedOn w:val="Normal"/>
    <w:next w:val="Normal"/>
    <w:link w:val="z-TopofFormChar"/>
    <w:hidden/>
    <w:uiPriority w:val="99"/>
    <w:semiHidden/>
    <w:unhideWhenUsed/>
    <w:rsid w:val="00FC71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716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71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716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C7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16B"/>
    <w:rPr>
      <w:rFonts w:ascii="Tahoma" w:hAnsi="Tahoma" w:cs="Tahoma"/>
      <w:sz w:val="16"/>
      <w:szCs w:val="16"/>
    </w:rPr>
  </w:style>
  <w:style w:type="character" w:styleId="Strong">
    <w:name w:val="Strong"/>
    <w:basedOn w:val="DefaultParagraphFont"/>
    <w:uiPriority w:val="22"/>
    <w:qFormat/>
    <w:rsid w:val="00FC716B"/>
    <w:rPr>
      <w:b/>
      <w:bCs/>
    </w:rPr>
  </w:style>
  <w:style w:type="character" w:customStyle="1" w:styleId="noprint">
    <w:name w:val="noprint"/>
    <w:basedOn w:val="DefaultParagraphFont"/>
    <w:rsid w:val="00FC716B"/>
  </w:style>
  <w:style w:type="character" w:styleId="Emphasis">
    <w:name w:val="Emphasis"/>
    <w:basedOn w:val="DefaultParagraphFont"/>
    <w:uiPriority w:val="20"/>
    <w:qFormat/>
    <w:rsid w:val="00920A66"/>
    <w:rPr>
      <w:i/>
      <w:iCs/>
    </w:rPr>
  </w:style>
  <w:style w:type="character" w:customStyle="1" w:styleId="Heading1Char">
    <w:name w:val="Heading 1 Char"/>
    <w:basedOn w:val="DefaultParagraphFont"/>
    <w:link w:val="Heading1"/>
    <w:uiPriority w:val="9"/>
    <w:rsid w:val="00160BEB"/>
    <w:rPr>
      <w:rFonts w:asciiTheme="majorHAnsi" w:eastAsiaTheme="majorEastAsia" w:hAnsiTheme="majorHAnsi" w:cstheme="majorBidi"/>
      <w:b/>
      <w:bCs/>
      <w:color w:val="365F91" w:themeColor="accent1" w:themeShade="BF"/>
      <w:sz w:val="28"/>
      <w:szCs w:val="28"/>
    </w:rPr>
  </w:style>
  <w:style w:type="character" w:customStyle="1" w:styleId="wraplinks">
    <w:name w:val="wraplinks"/>
    <w:basedOn w:val="DefaultParagraphFont"/>
    <w:rsid w:val="00160BEB"/>
  </w:style>
  <w:style w:type="character" w:customStyle="1" w:styleId="reference-text">
    <w:name w:val="reference-text"/>
    <w:basedOn w:val="DefaultParagraphFont"/>
    <w:rsid w:val="00160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71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FC716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16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FC716B"/>
    <w:rPr>
      <w:rFonts w:ascii="Times New Roman" w:eastAsia="Times New Roman" w:hAnsi="Times New Roman" w:cs="Times New Roman"/>
      <w:b/>
      <w:bCs/>
      <w:sz w:val="20"/>
      <w:szCs w:val="20"/>
    </w:rPr>
  </w:style>
  <w:style w:type="paragraph" w:styleId="NormalWeb">
    <w:name w:val="Normal (Web)"/>
    <w:basedOn w:val="Normal"/>
    <w:uiPriority w:val="99"/>
    <w:unhideWhenUsed/>
    <w:rsid w:val="00FC71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716B"/>
    <w:rPr>
      <w:color w:val="0000FF"/>
      <w:u w:val="single"/>
    </w:rPr>
  </w:style>
  <w:style w:type="character" w:styleId="FollowedHyperlink">
    <w:name w:val="FollowedHyperlink"/>
    <w:basedOn w:val="DefaultParagraphFont"/>
    <w:uiPriority w:val="99"/>
    <w:semiHidden/>
    <w:unhideWhenUsed/>
    <w:rsid w:val="00FC716B"/>
    <w:rPr>
      <w:color w:val="800080"/>
      <w:u w:val="single"/>
    </w:rPr>
  </w:style>
  <w:style w:type="character" w:customStyle="1" w:styleId="tocnumber">
    <w:name w:val="tocnumber"/>
    <w:basedOn w:val="DefaultParagraphFont"/>
    <w:rsid w:val="00FC716B"/>
  </w:style>
  <w:style w:type="character" w:customStyle="1" w:styleId="toctext">
    <w:name w:val="toctext"/>
    <w:basedOn w:val="DefaultParagraphFont"/>
    <w:rsid w:val="00FC716B"/>
  </w:style>
  <w:style w:type="character" w:customStyle="1" w:styleId="editsection">
    <w:name w:val="editsection"/>
    <w:basedOn w:val="DefaultParagraphFont"/>
    <w:rsid w:val="00FC716B"/>
  </w:style>
  <w:style w:type="character" w:customStyle="1" w:styleId="mw-headline">
    <w:name w:val="mw-headline"/>
    <w:basedOn w:val="DefaultParagraphFont"/>
    <w:rsid w:val="00FC716B"/>
  </w:style>
  <w:style w:type="character" w:customStyle="1" w:styleId="citation">
    <w:name w:val="citation"/>
    <w:basedOn w:val="DefaultParagraphFont"/>
    <w:rsid w:val="00FC716B"/>
  </w:style>
  <w:style w:type="character" w:customStyle="1" w:styleId="z3988">
    <w:name w:val="z3988"/>
    <w:basedOn w:val="DefaultParagraphFont"/>
    <w:rsid w:val="00FC716B"/>
  </w:style>
  <w:style w:type="paragraph" w:styleId="z-TopofForm">
    <w:name w:val="HTML Top of Form"/>
    <w:basedOn w:val="Normal"/>
    <w:next w:val="Normal"/>
    <w:link w:val="z-TopofFormChar"/>
    <w:hidden/>
    <w:uiPriority w:val="99"/>
    <w:semiHidden/>
    <w:unhideWhenUsed/>
    <w:rsid w:val="00FC71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716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71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716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C7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16B"/>
    <w:rPr>
      <w:rFonts w:ascii="Tahoma" w:hAnsi="Tahoma" w:cs="Tahoma"/>
      <w:sz w:val="16"/>
      <w:szCs w:val="16"/>
    </w:rPr>
  </w:style>
  <w:style w:type="character" w:styleId="Strong">
    <w:name w:val="Strong"/>
    <w:basedOn w:val="DefaultParagraphFont"/>
    <w:uiPriority w:val="22"/>
    <w:qFormat/>
    <w:rsid w:val="00FC716B"/>
    <w:rPr>
      <w:b/>
      <w:bCs/>
    </w:rPr>
  </w:style>
  <w:style w:type="character" w:customStyle="1" w:styleId="noprint">
    <w:name w:val="noprint"/>
    <w:basedOn w:val="DefaultParagraphFont"/>
    <w:rsid w:val="00FC716B"/>
  </w:style>
  <w:style w:type="character" w:styleId="Emphasis">
    <w:name w:val="Emphasis"/>
    <w:basedOn w:val="DefaultParagraphFont"/>
    <w:uiPriority w:val="20"/>
    <w:qFormat/>
    <w:rsid w:val="00920A66"/>
    <w:rPr>
      <w:i/>
      <w:iCs/>
    </w:rPr>
  </w:style>
</w:styles>
</file>

<file path=word/webSettings.xml><?xml version="1.0" encoding="utf-8"?>
<w:webSettings xmlns:r="http://schemas.openxmlformats.org/officeDocument/2006/relationships" xmlns:w="http://schemas.openxmlformats.org/wordprocessingml/2006/main">
  <w:divs>
    <w:div w:id="69468378">
      <w:bodyDiv w:val="1"/>
      <w:marLeft w:val="0"/>
      <w:marRight w:val="0"/>
      <w:marTop w:val="0"/>
      <w:marBottom w:val="0"/>
      <w:divBdr>
        <w:top w:val="none" w:sz="0" w:space="0" w:color="auto"/>
        <w:left w:val="none" w:sz="0" w:space="0" w:color="auto"/>
        <w:bottom w:val="none" w:sz="0" w:space="0" w:color="auto"/>
        <w:right w:val="none" w:sz="0" w:space="0" w:color="auto"/>
      </w:divBdr>
    </w:div>
    <w:div w:id="688601793">
      <w:bodyDiv w:val="1"/>
      <w:marLeft w:val="0"/>
      <w:marRight w:val="0"/>
      <w:marTop w:val="0"/>
      <w:marBottom w:val="0"/>
      <w:divBdr>
        <w:top w:val="none" w:sz="0" w:space="0" w:color="auto"/>
        <w:left w:val="none" w:sz="0" w:space="0" w:color="auto"/>
        <w:bottom w:val="none" w:sz="0" w:space="0" w:color="auto"/>
        <w:right w:val="none" w:sz="0" w:space="0" w:color="auto"/>
      </w:divBdr>
    </w:div>
    <w:div w:id="967248792">
      <w:bodyDiv w:val="1"/>
      <w:marLeft w:val="0"/>
      <w:marRight w:val="0"/>
      <w:marTop w:val="0"/>
      <w:marBottom w:val="0"/>
      <w:divBdr>
        <w:top w:val="none" w:sz="0" w:space="0" w:color="auto"/>
        <w:left w:val="none" w:sz="0" w:space="0" w:color="auto"/>
        <w:bottom w:val="none" w:sz="0" w:space="0" w:color="auto"/>
        <w:right w:val="none" w:sz="0" w:space="0" w:color="auto"/>
      </w:divBdr>
      <w:divsChild>
        <w:div w:id="1014186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05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279071">
      <w:bodyDiv w:val="1"/>
      <w:marLeft w:val="0"/>
      <w:marRight w:val="0"/>
      <w:marTop w:val="0"/>
      <w:marBottom w:val="0"/>
      <w:divBdr>
        <w:top w:val="none" w:sz="0" w:space="0" w:color="auto"/>
        <w:left w:val="none" w:sz="0" w:space="0" w:color="auto"/>
        <w:bottom w:val="none" w:sz="0" w:space="0" w:color="auto"/>
        <w:right w:val="none" w:sz="0" w:space="0" w:color="auto"/>
      </w:divBdr>
      <w:divsChild>
        <w:div w:id="519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38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82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833135">
      <w:bodyDiv w:val="1"/>
      <w:marLeft w:val="0"/>
      <w:marRight w:val="0"/>
      <w:marTop w:val="0"/>
      <w:marBottom w:val="0"/>
      <w:divBdr>
        <w:top w:val="none" w:sz="0" w:space="0" w:color="auto"/>
        <w:left w:val="none" w:sz="0" w:space="0" w:color="auto"/>
        <w:bottom w:val="none" w:sz="0" w:space="0" w:color="auto"/>
        <w:right w:val="none" w:sz="0" w:space="0" w:color="auto"/>
      </w:divBdr>
      <w:divsChild>
        <w:div w:id="16548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975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762806">
      <w:bodyDiv w:val="1"/>
      <w:marLeft w:val="0"/>
      <w:marRight w:val="0"/>
      <w:marTop w:val="0"/>
      <w:marBottom w:val="0"/>
      <w:divBdr>
        <w:top w:val="none" w:sz="0" w:space="0" w:color="auto"/>
        <w:left w:val="none" w:sz="0" w:space="0" w:color="auto"/>
        <w:bottom w:val="none" w:sz="0" w:space="0" w:color="auto"/>
        <w:right w:val="none" w:sz="0" w:space="0" w:color="auto"/>
      </w:divBdr>
      <w:divsChild>
        <w:div w:id="2031830153">
          <w:marLeft w:val="0"/>
          <w:marRight w:val="0"/>
          <w:marTop w:val="0"/>
          <w:marBottom w:val="0"/>
          <w:divBdr>
            <w:top w:val="none" w:sz="0" w:space="0" w:color="auto"/>
            <w:left w:val="none" w:sz="0" w:space="0" w:color="auto"/>
            <w:bottom w:val="none" w:sz="0" w:space="0" w:color="auto"/>
            <w:right w:val="none" w:sz="0" w:space="0" w:color="auto"/>
          </w:divBdr>
          <w:divsChild>
            <w:div w:id="727460946">
              <w:marLeft w:val="0"/>
              <w:marRight w:val="0"/>
              <w:marTop w:val="0"/>
              <w:marBottom w:val="0"/>
              <w:divBdr>
                <w:top w:val="none" w:sz="0" w:space="0" w:color="auto"/>
                <w:left w:val="none" w:sz="0" w:space="0" w:color="auto"/>
                <w:bottom w:val="none" w:sz="0" w:space="0" w:color="auto"/>
                <w:right w:val="none" w:sz="0" w:space="0" w:color="auto"/>
              </w:divBdr>
            </w:div>
            <w:div w:id="666439091">
              <w:marLeft w:val="0"/>
              <w:marRight w:val="0"/>
              <w:marTop w:val="0"/>
              <w:marBottom w:val="0"/>
              <w:divBdr>
                <w:top w:val="none" w:sz="0" w:space="0" w:color="auto"/>
                <w:left w:val="none" w:sz="0" w:space="0" w:color="auto"/>
                <w:bottom w:val="none" w:sz="0" w:space="0" w:color="auto"/>
                <w:right w:val="none" w:sz="0" w:space="0" w:color="auto"/>
              </w:divBdr>
              <w:divsChild>
                <w:div w:id="1352343815">
                  <w:marLeft w:val="0"/>
                  <w:marRight w:val="0"/>
                  <w:marTop w:val="0"/>
                  <w:marBottom w:val="0"/>
                  <w:divBdr>
                    <w:top w:val="none" w:sz="0" w:space="0" w:color="auto"/>
                    <w:left w:val="none" w:sz="0" w:space="0" w:color="auto"/>
                    <w:bottom w:val="none" w:sz="0" w:space="0" w:color="auto"/>
                    <w:right w:val="none" w:sz="0" w:space="0" w:color="auto"/>
                  </w:divBdr>
                </w:div>
                <w:div w:id="1163161281">
                  <w:marLeft w:val="0"/>
                  <w:marRight w:val="0"/>
                  <w:marTop w:val="0"/>
                  <w:marBottom w:val="0"/>
                  <w:divBdr>
                    <w:top w:val="none" w:sz="0" w:space="0" w:color="auto"/>
                    <w:left w:val="none" w:sz="0" w:space="0" w:color="auto"/>
                    <w:bottom w:val="none" w:sz="0" w:space="0" w:color="auto"/>
                    <w:right w:val="none" w:sz="0" w:space="0" w:color="auto"/>
                  </w:divBdr>
                </w:div>
                <w:div w:id="899638020">
                  <w:marLeft w:val="0"/>
                  <w:marRight w:val="0"/>
                  <w:marTop w:val="0"/>
                  <w:marBottom w:val="0"/>
                  <w:divBdr>
                    <w:top w:val="none" w:sz="0" w:space="0" w:color="auto"/>
                    <w:left w:val="none" w:sz="0" w:space="0" w:color="auto"/>
                    <w:bottom w:val="none" w:sz="0" w:space="0" w:color="auto"/>
                    <w:right w:val="none" w:sz="0" w:space="0" w:color="auto"/>
                  </w:divBdr>
                </w:div>
                <w:div w:id="760221397">
                  <w:marLeft w:val="0"/>
                  <w:marRight w:val="0"/>
                  <w:marTop w:val="0"/>
                  <w:marBottom w:val="0"/>
                  <w:divBdr>
                    <w:top w:val="none" w:sz="0" w:space="0" w:color="auto"/>
                    <w:left w:val="none" w:sz="0" w:space="0" w:color="auto"/>
                    <w:bottom w:val="none" w:sz="0" w:space="0" w:color="auto"/>
                    <w:right w:val="none" w:sz="0" w:space="0" w:color="auto"/>
                  </w:divBdr>
                </w:div>
                <w:div w:id="569077523">
                  <w:marLeft w:val="0"/>
                  <w:marRight w:val="0"/>
                  <w:marTop w:val="0"/>
                  <w:marBottom w:val="0"/>
                  <w:divBdr>
                    <w:top w:val="none" w:sz="0" w:space="0" w:color="auto"/>
                    <w:left w:val="none" w:sz="0" w:space="0" w:color="auto"/>
                    <w:bottom w:val="none" w:sz="0" w:space="0" w:color="auto"/>
                    <w:right w:val="none" w:sz="0" w:space="0" w:color="auto"/>
                  </w:divBdr>
                </w:div>
                <w:div w:id="1820463410">
                  <w:marLeft w:val="0"/>
                  <w:marRight w:val="0"/>
                  <w:marTop w:val="0"/>
                  <w:marBottom w:val="0"/>
                  <w:divBdr>
                    <w:top w:val="none" w:sz="0" w:space="0" w:color="auto"/>
                    <w:left w:val="none" w:sz="0" w:space="0" w:color="auto"/>
                    <w:bottom w:val="none" w:sz="0" w:space="0" w:color="auto"/>
                    <w:right w:val="none" w:sz="0" w:space="0" w:color="auto"/>
                  </w:divBdr>
                  <w:divsChild>
                    <w:div w:id="1156645676">
                      <w:marLeft w:val="0"/>
                      <w:marRight w:val="0"/>
                      <w:marTop w:val="0"/>
                      <w:marBottom w:val="0"/>
                      <w:divBdr>
                        <w:top w:val="none" w:sz="0" w:space="0" w:color="auto"/>
                        <w:left w:val="none" w:sz="0" w:space="0" w:color="auto"/>
                        <w:bottom w:val="none" w:sz="0" w:space="0" w:color="auto"/>
                        <w:right w:val="none" w:sz="0" w:space="0" w:color="auto"/>
                      </w:divBdr>
                    </w:div>
                  </w:divsChild>
                </w:div>
                <w:div w:id="6816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41766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61189">
                  <w:marLeft w:val="0"/>
                  <w:marRight w:val="0"/>
                  <w:marTop w:val="0"/>
                  <w:marBottom w:val="0"/>
                  <w:divBdr>
                    <w:top w:val="none" w:sz="0" w:space="0" w:color="auto"/>
                    <w:left w:val="none" w:sz="0" w:space="0" w:color="auto"/>
                    <w:bottom w:val="none" w:sz="0" w:space="0" w:color="auto"/>
                    <w:right w:val="none" w:sz="0" w:space="0" w:color="auto"/>
                  </w:divBdr>
                </w:div>
              </w:divsChild>
            </w:div>
            <w:div w:id="220943192">
              <w:marLeft w:val="0"/>
              <w:marRight w:val="0"/>
              <w:marTop w:val="0"/>
              <w:marBottom w:val="0"/>
              <w:divBdr>
                <w:top w:val="none" w:sz="0" w:space="0" w:color="auto"/>
                <w:left w:val="none" w:sz="0" w:space="0" w:color="auto"/>
                <w:bottom w:val="none" w:sz="0" w:space="0" w:color="auto"/>
                <w:right w:val="none" w:sz="0" w:space="0" w:color="auto"/>
              </w:divBdr>
              <w:divsChild>
                <w:div w:id="14276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22131">
      <w:bodyDiv w:val="1"/>
      <w:marLeft w:val="0"/>
      <w:marRight w:val="0"/>
      <w:marTop w:val="0"/>
      <w:marBottom w:val="0"/>
      <w:divBdr>
        <w:top w:val="none" w:sz="0" w:space="0" w:color="auto"/>
        <w:left w:val="none" w:sz="0" w:space="0" w:color="auto"/>
        <w:bottom w:val="none" w:sz="0" w:space="0" w:color="auto"/>
        <w:right w:val="none" w:sz="0" w:space="0" w:color="auto"/>
      </w:divBdr>
      <w:divsChild>
        <w:div w:id="70340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948516">
      <w:bodyDiv w:val="1"/>
      <w:marLeft w:val="0"/>
      <w:marRight w:val="0"/>
      <w:marTop w:val="0"/>
      <w:marBottom w:val="0"/>
      <w:divBdr>
        <w:top w:val="none" w:sz="0" w:space="0" w:color="auto"/>
        <w:left w:val="none" w:sz="0" w:space="0" w:color="auto"/>
        <w:bottom w:val="none" w:sz="0" w:space="0" w:color="auto"/>
        <w:right w:val="none" w:sz="0" w:space="0" w:color="auto"/>
      </w:divBdr>
      <w:divsChild>
        <w:div w:id="159038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923951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984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319144">
      <w:bodyDiv w:val="1"/>
      <w:marLeft w:val="0"/>
      <w:marRight w:val="0"/>
      <w:marTop w:val="0"/>
      <w:marBottom w:val="0"/>
      <w:divBdr>
        <w:top w:val="none" w:sz="0" w:space="0" w:color="auto"/>
        <w:left w:val="none" w:sz="0" w:space="0" w:color="auto"/>
        <w:bottom w:val="none" w:sz="0" w:space="0" w:color="auto"/>
        <w:right w:val="none" w:sz="0" w:space="0" w:color="auto"/>
      </w:divBdr>
      <w:divsChild>
        <w:div w:id="177127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6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9301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920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3981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9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66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89701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648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591616">
      <w:bodyDiv w:val="1"/>
      <w:marLeft w:val="0"/>
      <w:marRight w:val="0"/>
      <w:marTop w:val="0"/>
      <w:marBottom w:val="0"/>
      <w:divBdr>
        <w:top w:val="none" w:sz="0" w:space="0" w:color="auto"/>
        <w:left w:val="none" w:sz="0" w:space="0" w:color="auto"/>
        <w:bottom w:val="none" w:sz="0" w:space="0" w:color="auto"/>
        <w:right w:val="none" w:sz="0" w:space="0" w:color="auto"/>
      </w:divBdr>
      <w:divsChild>
        <w:div w:id="1882940367">
          <w:marLeft w:val="0"/>
          <w:marRight w:val="0"/>
          <w:marTop w:val="0"/>
          <w:marBottom w:val="0"/>
          <w:divBdr>
            <w:top w:val="none" w:sz="0" w:space="0" w:color="auto"/>
            <w:left w:val="none" w:sz="0" w:space="0" w:color="auto"/>
            <w:bottom w:val="none" w:sz="0" w:space="0" w:color="auto"/>
            <w:right w:val="none" w:sz="0" w:space="0" w:color="auto"/>
          </w:divBdr>
          <w:divsChild>
            <w:div w:id="1889955253">
              <w:marLeft w:val="0"/>
              <w:marRight w:val="0"/>
              <w:marTop w:val="0"/>
              <w:marBottom w:val="0"/>
              <w:divBdr>
                <w:top w:val="none" w:sz="0" w:space="0" w:color="auto"/>
                <w:left w:val="none" w:sz="0" w:space="0" w:color="auto"/>
                <w:bottom w:val="none" w:sz="0" w:space="0" w:color="auto"/>
                <w:right w:val="none" w:sz="0" w:space="0" w:color="auto"/>
              </w:divBdr>
              <w:divsChild>
                <w:div w:id="941914897">
                  <w:marLeft w:val="0"/>
                  <w:marRight w:val="0"/>
                  <w:marTop w:val="0"/>
                  <w:marBottom w:val="0"/>
                  <w:divBdr>
                    <w:top w:val="none" w:sz="0" w:space="0" w:color="auto"/>
                    <w:left w:val="none" w:sz="0" w:space="0" w:color="auto"/>
                    <w:bottom w:val="none" w:sz="0" w:space="0" w:color="auto"/>
                    <w:right w:val="none" w:sz="0" w:space="0" w:color="auto"/>
                  </w:divBdr>
                  <w:divsChild>
                    <w:div w:id="1927686174">
                      <w:marLeft w:val="0"/>
                      <w:marRight w:val="0"/>
                      <w:marTop w:val="0"/>
                      <w:marBottom w:val="0"/>
                      <w:divBdr>
                        <w:top w:val="none" w:sz="0" w:space="0" w:color="auto"/>
                        <w:left w:val="none" w:sz="0" w:space="0" w:color="auto"/>
                        <w:bottom w:val="none" w:sz="0" w:space="0" w:color="auto"/>
                        <w:right w:val="none" w:sz="0" w:space="0" w:color="auto"/>
                      </w:divBdr>
                    </w:div>
                    <w:div w:id="65302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8914">
                      <w:marLeft w:val="0"/>
                      <w:marRight w:val="0"/>
                      <w:marTop w:val="0"/>
                      <w:marBottom w:val="0"/>
                      <w:divBdr>
                        <w:top w:val="none" w:sz="0" w:space="0" w:color="auto"/>
                        <w:left w:val="none" w:sz="0" w:space="0" w:color="auto"/>
                        <w:bottom w:val="none" w:sz="0" w:space="0" w:color="auto"/>
                        <w:right w:val="none" w:sz="0" w:space="0" w:color="auto"/>
                      </w:divBdr>
                    </w:div>
                  </w:divsChild>
                </w:div>
                <w:div w:id="1443575408">
                  <w:marLeft w:val="0"/>
                  <w:marRight w:val="0"/>
                  <w:marTop w:val="0"/>
                  <w:marBottom w:val="0"/>
                  <w:divBdr>
                    <w:top w:val="none" w:sz="0" w:space="0" w:color="auto"/>
                    <w:left w:val="none" w:sz="0" w:space="0" w:color="auto"/>
                    <w:bottom w:val="none" w:sz="0" w:space="0" w:color="auto"/>
                    <w:right w:val="none" w:sz="0" w:space="0" w:color="auto"/>
                  </w:divBdr>
                </w:div>
                <w:div w:id="1978992950">
                  <w:marLeft w:val="0"/>
                  <w:marRight w:val="0"/>
                  <w:marTop w:val="0"/>
                  <w:marBottom w:val="0"/>
                  <w:divBdr>
                    <w:top w:val="none" w:sz="0" w:space="0" w:color="auto"/>
                    <w:left w:val="none" w:sz="0" w:space="0" w:color="auto"/>
                    <w:bottom w:val="none" w:sz="0" w:space="0" w:color="auto"/>
                    <w:right w:val="none" w:sz="0" w:space="0" w:color="auto"/>
                  </w:divBdr>
                  <w:divsChild>
                    <w:div w:id="9867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3284">
          <w:marLeft w:val="0"/>
          <w:marRight w:val="0"/>
          <w:marTop w:val="0"/>
          <w:marBottom w:val="0"/>
          <w:divBdr>
            <w:top w:val="none" w:sz="0" w:space="0" w:color="auto"/>
            <w:left w:val="none" w:sz="0" w:space="0" w:color="auto"/>
            <w:bottom w:val="none" w:sz="0" w:space="0" w:color="auto"/>
            <w:right w:val="none" w:sz="0" w:space="0" w:color="auto"/>
          </w:divBdr>
          <w:divsChild>
            <w:div w:id="1701936348">
              <w:marLeft w:val="0"/>
              <w:marRight w:val="0"/>
              <w:marTop w:val="0"/>
              <w:marBottom w:val="0"/>
              <w:divBdr>
                <w:top w:val="none" w:sz="0" w:space="0" w:color="auto"/>
                <w:left w:val="none" w:sz="0" w:space="0" w:color="auto"/>
                <w:bottom w:val="none" w:sz="0" w:space="0" w:color="auto"/>
                <w:right w:val="none" w:sz="0" w:space="0" w:color="auto"/>
              </w:divBdr>
            </w:div>
            <w:div w:id="1037584546">
              <w:marLeft w:val="0"/>
              <w:marRight w:val="0"/>
              <w:marTop w:val="0"/>
              <w:marBottom w:val="0"/>
              <w:divBdr>
                <w:top w:val="none" w:sz="0" w:space="0" w:color="auto"/>
                <w:left w:val="none" w:sz="0" w:space="0" w:color="auto"/>
                <w:bottom w:val="none" w:sz="0" w:space="0" w:color="auto"/>
                <w:right w:val="none" w:sz="0" w:space="0" w:color="auto"/>
              </w:divBdr>
              <w:divsChild>
                <w:div w:id="1990212262">
                  <w:marLeft w:val="0"/>
                  <w:marRight w:val="0"/>
                  <w:marTop w:val="0"/>
                  <w:marBottom w:val="0"/>
                  <w:divBdr>
                    <w:top w:val="none" w:sz="0" w:space="0" w:color="auto"/>
                    <w:left w:val="none" w:sz="0" w:space="0" w:color="auto"/>
                    <w:bottom w:val="none" w:sz="0" w:space="0" w:color="auto"/>
                    <w:right w:val="none" w:sz="0" w:space="0" w:color="auto"/>
                  </w:divBdr>
                </w:div>
                <w:div w:id="1180315883">
                  <w:marLeft w:val="0"/>
                  <w:marRight w:val="0"/>
                  <w:marTop w:val="0"/>
                  <w:marBottom w:val="0"/>
                  <w:divBdr>
                    <w:top w:val="none" w:sz="0" w:space="0" w:color="auto"/>
                    <w:left w:val="none" w:sz="0" w:space="0" w:color="auto"/>
                    <w:bottom w:val="none" w:sz="0" w:space="0" w:color="auto"/>
                    <w:right w:val="none" w:sz="0" w:space="0" w:color="auto"/>
                  </w:divBdr>
                </w:div>
              </w:divsChild>
            </w:div>
            <w:div w:id="1911962287">
              <w:marLeft w:val="0"/>
              <w:marRight w:val="0"/>
              <w:marTop w:val="0"/>
              <w:marBottom w:val="0"/>
              <w:divBdr>
                <w:top w:val="none" w:sz="0" w:space="0" w:color="auto"/>
                <w:left w:val="none" w:sz="0" w:space="0" w:color="auto"/>
                <w:bottom w:val="none" w:sz="0" w:space="0" w:color="auto"/>
                <w:right w:val="none" w:sz="0" w:space="0" w:color="auto"/>
              </w:divBdr>
              <w:divsChild>
                <w:div w:id="185604043">
                  <w:marLeft w:val="0"/>
                  <w:marRight w:val="0"/>
                  <w:marTop w:val="0"/>
                  <w:marBottom w:val="0"/>
                  <w:divBdr>
                    <w:top w:val="none" w:sz="0" w:space="0" w:color="auto"/>
                    <w:left w:val="none" w:sz="0" w:space="0" w:color="auto"/>
                    <w:bottom w:val="none" w:sz="0" w:space="0" w:color="auto"/>
                    <w:right w:val="none" w:sz="0" w:space="0" w:color="auto"/>
                  </w:divBdr>
                </w:div>
                <w:div w:id="1604266041">
                  <w:marLeft w:val="0"/>
                  <w:marRight w:val="0"/>
                  <w:marTop w:val="0"/>
                  <w:marBottom w:val="0"/>
                  <w:divBdr>
                    <w:top w:val="none" w:sz="0" w:space="0" w:color="auto"/>
                    <w:left w:val="none" w:sz="0" w:space="0" w:color="auto"/>
                    <w:bottom w:val="none" w:sz="0" w:space="0" w:color="auto"/>
                    <w:right w:val="none" w:sz="0" w:space="0" w:color="auto"/>
                  </w:divBdr>
                </w:div>
                <w:div w:id="1091851506">
                  <w:marLeft w:val="0"/>
                  <w:marRight w:val="0"/>
                  <w:marTop w:val="0"/>
                  <w:marBottom w:val="0"/>
                  <w:divBdr>
                    <w:top w:val="none" w:sz="0" w:space="0" w:color="auto"/>
                    <w:left w:val="none" w:sz="0" w:space="0" w:color="auto"/>
                    <w:bottom w:val="none" w:sz="0" w:space="0" w:color="auto"/>
                    <w:right w:val="none" w:sz="0" w:space="0" w:color="auto"/>
                  </w:divBdr>
                  <w:divsChild>
                    <w:div w:id="3282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31005">
          <w:marLeft w:val="0"/>
          <w:marRight w:val="0"/>
          <w:marTop w:val="0"/>
          <w:marBottom w:val="0"/>
          <w:divBdr>
            <w:top w:val="none" w:sz="0" w:space="0" w:color="auto"/>
            <w:left w:val="none" w:sz="0" w:space="0" w:color="auto"/>
            <w:bottom w:val="none" w:sz="0" w:space="0" w:color="auto"/>
            <w:right w:val="none" w:sz="0" w:space="0" w:color="auto"/>
          </w:divBdr>
          <w:divsChild>
            <w:div w:id="325523559">
              <w:marLeft w:val="0"/>
              <w:marRight w:val="0"/>
              <w:marTop w:val="0"/>
              <w:marBottom w:val="0"/>
              <w:divBdr>
                <w:top w:val="none" w:sz="0" w:space="0" w:color="auto"/>
                <w:left w:val="none" w:sz="0" w:space="0" w:color="auto"/>
                <w:bottom w:val="none" w:sz="0" w:space="0" w:color="auto"/>
                <w:right w:val="none" w:sz="0" w:space="0" w:color="auto"/>
              </w:divBdr>
              <w:divsChild>
                <w:div w:id="2140996759">
                  <w:marLeft w:val="0"/>
                  <w:marRight w:val="0"/>
                  <w:marTop w:val="0"/>
                  <w:marBottom w:val="0"/>
                  <w:divBdr>
                    <w:top w:val="none" w:sz="0" w:space="0" w:color="auto"/>
                    <w:left w:val="none" w:sz="0" w:space="0" w:color="auto"/>
                    <w:bottom w:val="none" w:sz="0" w:space="0" w:color="auto"/>
                    <w:right w:val="none" w:sz="0" w:space="0" w:color="auto"/>
                  </w:divBdr>
                </w:div>
              </w:divsChild>
            </w:div>
            <w:div w:id="374932886">
              <w:marLeft w:val="0"/>
              <w:marRight w:val="0"/>
              <w:marTop w:val="0"/>
              <w:marBottom w:val="0"/>
              <w:divBdr>
                <w:top w:val="none" w:sz="0" w:space="0" w:color="auto"/>
                <w:left w:val="none" w:sz="0" w:space="0" w:color="auto"/>
                <w:bottom w:val="none" w:sz="0" w:space="0" w:color="auto"/>
                <w:right w:val="none" w:sz="0" w:space="0" w:color="auto"/>
              </w:divBdr>
              <w:divsChild>
                <w:div w:id="1036470958">
                  <w:marLeft w:val="0"/>
                  <w:marRight w:val="0"/>
                  <w:marTop w:val="0"/>
                  <w:marBottom w:val="0"/>
                  <w:divBdr>
                    <w:top w:val="none" w:sz="0" w:space="0" w:color="auto"/>
                    <w:left w:val="none" w:sz="0" w:space="0" w:color="auto"/>
                    <w:bottom w:val="none" w:sz="0" w:space="0" w:color="auto"/>
                    <w:right w:val="none" w:sz="0" w:space="0" w:color="auto"/>
                  </w:divBdr>
                </w:div>
              </w:divsChild>
            </w:div>
            <w:div w:id="601760668">
              <w:marLeft w:val="0"/>
              <w:marRight w:val="0"/>
              <w:marTop w:val="0"/>
              <w:marBottom w:val="0"/>
              <w:divBdr>
                <w:top w:val="none" w:sz="0" w:space="0" w:color="auto"/>
                <w:left w:val="none" w:sz="0" w:space="0" w:color="auto"/>
                <w:bottom w:val="none" w:sz="0" w:space="0" w:color="auto"/>
                <w:right w:val="none" w:sz="0" w:space="0" w:color="auto"/>
              </w:divBdr>
              <w:divsChild>
                <w:div w:id="660813075">
                  <w:marLeft w:val="0"/>
                  <w:marRight w:val="0"/>
                  <w:marTop w:val="0"/>
                  <w:marBottom w:val="0"/>
                  <w:divBdr>
                    <w:top w:val="none" w:sz="0" w:space="0" w:color="auto"/>
                    <w:left w:val="none" w:sz="0" w:space="0" w:color="auto"/>
                    <w:bottom w:val="none" w:sz="0" w:space="0" w:color="auto"/>
                    <w:right w:val="none" w:sz="0" w:space="0" w:color="auto"/>
                  </w:divBdr>
                </w:div>
              </w:divsChild>
            </w:div>
            <w:div w:id="1905411875">
              <w:marLeft w:val="0"/>
              <w:marRight w:val="0"/>
              <w:marTop w:val="0"/>
              <w:marBottom w:val="0"/>
              <w:divBdr>
                <w:top w:val="none" w:sz="0" w:space="0" w:color="auto"/>
                <w:left w:val="none" w:sz="0" w:space="0" w:color="auto"/>
                <w:bottom w:val="none" w:sz="0" w:space="0" w:color="auto"/>
                <w:right w:val="none" w:sz="0" w:space="0" w:color="auto"/>
              </w:divBdr>
              <w:divsChild>
                <w:div w:id="18339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7525">
          <w:marLeft w:val="0"/>
          <w:marRight w:val="0"/>
          <w:marTop w:val="0"/>
          <w:marBottom w:val="0"/>
          <w:divBdr>
            <w:top w:val="none" w:sz="0" w:space="0" w:color="auto"/>
            <w:left w:val="none" w:sz="0" w:space="0" w:color="auto"/>
            <w:bottom w:val="none" w:sz="0" w:space="0" w:color="auto"/>
            <w:right w:val="none" w:sz="0" w:space="0" w:color="auto"/>
          </w:divBdr>
        </w:div>
      </w:divsChild>
    </w:div>
    <w:div w:id="2041738069">
      <w:bodyDiv w:val="1"/>
      <w:marLeft w:val="0"/>
      <w:marRight w:val="0"/>
      <w:marTop w:val="0"/>
      <w:marBottom w:val="0"/>
      <w:divBdr>
        <w:top w:val="none" w:sz="0" w:space="0" w:color="auto"/>
        <w:left w:val="none" w:sz="0" w:space="0" w:color="auto"/>
        <w:bottom w:val="none" w:sz="0" w:space="0" w:color="auto"/>
        <w:right w:val="none" w:sz="0" w:space="0" w:color="auto"/>
      </w:divBdr>
      <w:divsChild>
        <w:div w:id="747531508">
          <w:marLeft w:val="0"/>
          <w:marRight w:val="0"/>
          <w:marTop w:val="0"/>
          <w:marBottom w:val="0"/>
          <w:divBdr>
            <w:top w:val="none" w:sz="0" w:space="0" w:color="auto"/>
            <w:left w:val="none" w:sz="0" w:space="0" w:color="auto"/>
            <w:bottom w:val="none" w:sz="0" w:space="0" w:color="auto"/>
            <w:right w:val="none" w:sz="0" w:space="0" w:color="auto"/>
          </w:divBdr>
          <w:divsChild>
            <w:div w:id="97719018">
              <w:marLeft w:val="0"/>
              <w:marRight w:val="0"/>
              <w:marTop w:val="0"/>
              <w:marBottom w:val="0"/>
              <w:divBdr>
                <w:top w:val="none" w:sz="0" w:space="0" w:color="auto"/>
                <w:left w:val="none" w:sz="0" w:space="0" w:color="auto"/>
                <w:bottom w:val="none" w:sz="0" w:space="0" w:color="auto"/>
                <w:right w:val="none" w:sz="0" w:space="0" w:color="auto"/>
              </w:divBdr>
            </w:div>
          </w:divsChild>
        </w:div>
        <w:div w:id="1281649658">
          <w:marLeft w:val="0"/>
          <w:marRight w:val="0"/>
          <w:marTop w:val="0"/>
          <w:marBottom w:val="0"/>
          <w:divBdr>
            <w:top w:val="none" w:sz="0" w:space="0" w:color="auto"/>
            <w:left w:val="none" w:sz="0" w:space="0" w:color="auto"/>
            <w:bottom w:val="none" w:sz="0" w:space="0" w:color="auto"/>
            <w:right w:val="none" w:sz="0" w:space="0" w:color="auto"/>
          </w:divBdr>
          <w:divsChild>
            <w:div w:id="2064517498">
              <w:marLeft w:val="0"/>
              <w:marRight w:val="0"/>
              <w:marTop w:val="0"/>
              <w:marBottom w:val="0"/>
              <w:divBdr>
                <w:top w:val="none" w:sz="0" w:space="0" w:color="auto"/>
                <w:left w:val="none" w:sz="0" w:space="0" w:color="auto"/>
                <w:bottom w:val="none" w:sz="0" w:space="0" w:color="auto"/>
                <w:right w:val="none" w:sz="0" w:space="0" w:color="auto"/>
              </w:divBdr>
            </w:div>
            <w:div w:id="97875221">
              <w:marLeft w:val="0"/>
              <w:marRight w:val="0"/>
              <w:marTop w:val="0"/>
              <w:marBottom w:val="0"/>
              <w:divBdr>
                <w:top w:val="none" w:sz="0" w:space="0" w:color="auto"/>
                <w:left w:val="none" w:sz="0" w:space="0" w:color="auto"/>
                <w:bottom w:val="none" w:sz="0" w:space="0" w:color="auto"/>
                <w:right w:val="none" w:sz="0" w:space="0" w:color="auto"/>
              </w:divBdr>
            </w:div>
          </w:divsChild>
        </w:div>
        <w:div w:id="1821337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Cheek_v._United_States" TargetMode="External"/><Relationship Id="rId117" Type="http://schemas.openxmlformats.org/officeDocument/2006/relationships/hyperlink" Target="http://en.wikipedia.org/wiki/The_Law_that_Never_Was" TargetMode="External"/><Relationship Id="rId21" Type="http://schemas.openxmlformats.org/officeDocument/2006/relationships/hyperlink" Target="http://en.wikipedia.org/wiki/Wayne_Bentson" TargetMode="External"/><Relationship Id="rId42" Type="http://schemas.openxmlformats.org/officeDocument/2006/relationships/hyperlink" Target="http://en.wikipedia.org/wiki/Capital_gains_tax_in_the_United_States" TargetMode="External"/><Relationship Id="rId47" Type="http://schemas.openxmlformats.org/officeDocument/2006/relationships/hyperlink" Target="http://en.wikipedia.org/wiki/Federal_tax_revenue_by_state" TargetMode="External"/><Relationship Id="rId63" Type="http://schemas.openxmlformats.org/officeDocument/2006/relationships/hyperlink" Target="http://en.wikipedia.org/wiki/Sales_taxes_in_the_United_States" TargetMode="External"/><Relationship Id="rId68" Type="http://schemas.openxmlformats.org/officeDocument/2006/relationships/hyperlink" Target="http://en.wikipedia.org/wiki/The_Law_that_Never_Was" TargetMode="External"/><Relationship Id="rId84" Type="http://schemas.openxmlformats.org/officeDocument/2006/relationships/hyperlink" Target="http://en.wikipedia.org/wiki/The_Law_that_Never_Was" TargetMode="External"/><Relationship Id="rId89" Type="http://schemas.openxmlformats.org/officeDocument/2006/relationships/hyperlink" Target="http://en.wikipedia.org/wiki/U.S._state" TargetMode="External"/><Relationship Id="rId112" Type="http://schemas.openxmlformats.org/officeDocument/2006/relationships/hyperlink" Target="http://en.wikipedia.org/wiki/The_Law_that_Never_Was" TargetMode="External"/><Relationship Id="rId133" Type="http://schemas.openxmlformats.org/officeDocument/2006/relationships/hyperlink" Target="http://en.wikipedia.org/wiki/The_Law_that_Never_Was" TargetMode="External"/><Relationship Id="rId138" Type="http://schemas.openxmlformats.org/officeDocument/2006/relationships/hyperlink" Target="http://en.wikipedia.org/wiki/The_Law_that_Never_Was" TargetMode="External"/><Relationship Id="rId154" Type="http://schemas.openxmlformats.org/officeDocument/2006/relationships/hyperlink" Target="http://www.thelawthatneverwas.com/new/ratification.asp" TargetMode="External"/><Relationship Id="rId159" Type="http://schemas.openxmlformats.org/officeDocument/2006/relationships/hyperlink" Target="http://en.wikipedia.org/wiki/OCLC" TargetMode="External"/><Relationship Id="rId170" Type="http://schemas.openxmlformats.org/officeDocument/2006/relationships/fontTable" Target="fontTable.xml"/><Relationship Id="rId16" Type="http://schemas.openxmlformats.org/officeDocument/2006/relationships/hyperlink" Target="http://en.wikipedia.org/wiki/Tax_protester_conspiracy_arguments" TargetMode="External"/><Relationship Id="rId107" Type="http://schemas.openxmlformats.org/officeDocument/2006/relationships/hyperlink" Target="http://en.wikipedia.org/wiki/Tax_protester_constitutional_arguments" TargetMode="External"/><Relationship Id="rId11" Type="http://schemas.openxmlformats.org/officeDocument/2006/relationships/hyperlink" Target="http://en.wikipedia.org/wiki/Tax_protester_arguments" TargetMode="External"/><Relationship Id="rId32" Type="http://schemas.openxmlformats.org/officeDocument/2006/relationships/hyperlink" Target="http://en.wikipedia.org/wiki/Sovereign_citizen_movement" TargetMode="External"/><Relationship Id="rId37" Type="http://schemas.openxmlformats.org/officeDocument/2006/relationships/hyperlink" Target="http://en.wikipedia.org/wiki/File:Great_Seal_of_the_United_States_%28obverse%29.svg" TargetMode="External"/><Relationship Id="rId53" Type="http://schemas.openxmlformats.org/officeDocument/2006/relationships/hyperlink" Target="http://en.wikipedia.org/wiki/Taxation_history_of_the_United_States" TargetMode="External"/><Relationship Id="rId58" Type="http://schemas.openxmlformats.org/officeDocument/2006/relationships/hyperlink" Target="http://en.wikipedia.org/wiki/Tax_evasion_in_the_United_States" TargetMode="External"/><Relationship Id="rId74" Type="http://schemas.openxmlformats.org/officeDocument/2006/relationships/hyperlink" Target="http://en.wikipedia.org/wiki/Ratification" TargetMode="External"/><Relationship Id="rId79" Type="http://schemas.openxmlformats.org/officeDocument/2006/relationships/hyperlink" Target="http://en.wikipedia.org/wiki/The_Law_that_Never_Was" TargetMode="External"/><Relationship Id="rId102" Type="http://schemas.openxmlformats.org/officeDocument/2006/relationships/hyperlink" Target="http://en.wikipedia.org/wiki/The_Law_that_Never_Was" TargetMode="External"/><Relationship Id="rId123" Type="http://schemas.openxmlformats.org/officeDocument/2006/relationships/hyperlink" Target="http://en.wikipedia.org/wiki/The_Law_that_Never_Was" TargetMode="External"/><Relationship Id="rId128" Type="http://schemas.openxmlformats.org/officeDocument/2006/relationships/hyperlink" Target="http://www.law.cornell.edu/uscode/26/6700.html" TargetMode="External"/><Relationship Id="rId144" Type="http://schemas.openxmlformats.org/officeDocument/2006/relationships/hyperlink" Target="http://scholar.google.com/scholar_case?q=%22438+F.+Supp.+349%22&amp;hl=en&amp;as_sdt=3,44&amp;case=7762166821465252170&amp;scilh=0" TargetMode="External"/><Relationship Id="rId149" Type="http://schemas.openxmlformats.org/officeDocument/2006/relationships/hyperlink" Target="http://en.wikipedia.org/wiki/7th_Cir." TargetMode="External"/><Relationship Id="rId5" Type="http://schemas.openxmlformats.org/officeDocument/2006/relationships/hyperlink" Target="http://en.wikipedia.org/wiki/The_Law_that_Never_Was" TargetMode="External"/><Relationship Id="rId90" Type="http://schemas.openxmlformats.org/officeDocument/2006/relationships/hyperlink" Target="http://en.wikipedia.org/wiki/State_legislature_%28United_States%29" TargetMode="External"/><Relationship Id="rId95" Type="http://schemas.openxmlformats.org/officeDocument/2006/relationships/hyperlink" Target="http://en.wikipedia.org/wiki/United_States_Court_of_Appeals_for_the_Ninth_Circuit" TargetMode="External"/><Relationship Id="rId160" Type="http://schemas.openxmlformats.org/officeDocument/2006/relationships/hyperlink" Target="http://www.worldcat.org/oclc/12357966" TargetMode="External"/><Relationship Id="rId165" Type="http://schemas.openxmlformats.org/officeDocument/2006/relationships/hyperlink" Target="http://en.wikipedia.org/wiki/Help:Category" TargetMode="External"/><Relationship Id="rId22" Type="http://schemas.openxmlformats.org/officeDocument/2006/relationships/hyperlink" Target="http://en.wikipedia.org/wiki/Tom_Cryer" TargetMode="External"/><Relationship Id="rId27" Type="http://schemas.openxmlformats.org/officeDocument/2006/relationships/hyperlink" Target="http://en.wikipedia.org/wiki/Titles_of_Nobility_Amendment" TargetMode="External"/><Relationship Id="rId43" Type="http://schemas.openxmlformats.org/officeDocument/2006/relationships/hyperlink" Target="http://en.wikipedia.org/wiki/Corporate_tax_in_the_United_States" TargetMode="External"/><Relationship Id="rId48" Type="http://schemas.openxmlformats.org/officeDocument/2006/relationships/hyperlink" Target="http://en.wikipedia.org/wiki/Gift_tax_in_the_United_States" TargetMode="External"/><Relationship Id="rId64" Type="http://schemas.openxmlformats.org/officeDocument/2006/relationships/hyperlink" Target="http://en.wikipedia.org/wiki/State_income_tax" TargetMode="External"/><Relationship Id="rId69" Type="http://schemas.openxmlformats.org/officeDocument/2006/relationships/hyperlink" Target="http://en.wikipedia.org/wiki/Template:US_taxation" TargetMode="External"/><Relationship Id="rId113" Type="http://schemas.openxmlformats.org/officeDocument/2006/relationships/hyperlink" Target="http://en.wikipedia.org/wiki/The_Law_that_Never_Was" TargetMode="External"/><Relationship Id="rId118" Type="http://schemas.openxmlformats.org/officeDocument/2006/relationships/hyperlink" Target="http://en.wikipedia.org/wiki/The_Law_that_Never_Was" TargetMode="External"/><Relationship Id="rId134" Type="http://schemas.openxmlformats.org/officeDocument/2006/relationships/hyperlink" Target="http://en.wikipedia.org/wiki/The_Law_that_Never_Was" TargetMode="External"/><Relationship Id="rId139" Type="http://schemas.openxmlformats.org/officeDocument/2006/relationships/hyperlink" Target="http://en.wikipedia.org/wiki/The_Law_that_Never_Was" TargetMode="External"/><Relationship Id="rId80" Type="http://schemas.openxmlformats.org/officeDocument/2006/relationships/hyperlink" Target="http://en.wikipedia.org/wiki/The_Law_that_Never_Was" TargetMode="External"/><Relationship Id="rId85" Type="http://schemas.openxmlformats.org/officeDocument/2006/relationships/hyperlink" Target="http://en.wikipedia.org/wiki/The_Law_that_Never_Was" TargetMode="External"/><Relationship Id="rId150" Type="http://schemas.openxmlformats.org/officeDocument/2006/relationships/hyperlink" Target="http://scholar.google.com/scholar_case?q=%22788+F.2d+1250%22&amp;hl=en&amp;as_sdt=3,44&amp;case=15005018928858012497&amp;scilh=0" TargetMode="External"/><Relationship Id="rId155" Type="http://schemas.openxmlformats.org/officeDocument/2006/relationships/hyperlink" Target="http://caselaw.lp.findlaw.com/scripts/getcase.pl?navby=case&amp;court=us&amp;vol=240&amp;page=1" TargetMode="External"/><Relationship Id="rId171" Type="http://schemas.openxmlformats.org/officeDocument/2006/relationships/theme" Target="theme/theme1.xml"/><Relationship Id="rId12" Type="http://schemas.openxmlformats.org/officeDocument/2006/relationships/hyperlink" Target="http://en.wikipedia.org/wiki/Tax_protester_constitutional_arguments" TargetMode="External"/><Relationship Id="rId17" Type="http://schemas.openxmlformats.org/officeDocument/2006/relationships/hyperlink" Target="http://en.wikipedia.org/wiki/Arthur_Porth" TargetMode="External"/><Relationship Id="rId33" Type="http://schemas.openxmlformats.org/officeDocument/2006/relationships/hyperlink" Target="http://en.wikipedia.org/wiki/Template:Tax_protest_in_the_United_States" TargetMode="External"/><Relationship Id="rId38" Type="http://schemas.openxmlformats.org/officeDocument/2006/relationships/image" Target="media/image2.png"/><Relationship Id="rId59" Type="http://schemas.openxmlformats.org/officeDocument/2006/relationships/hyperlink" Target="http://en.wikipedia.org/wiki/Taxation_in_the_United_States" TargetMode="External"/><Relationship Id="rId103" Type="http://schemas.openxmlformats.org/officeDocument/2006/relationships/hyperlink" Target="http://en.wikipedia.org/wiki/The_Law_that_Never_Was" TargetMode="External"/><Relationship Id="rId108" Type="http://schemas.openxmlformats.org/officeDocument/2006/relationships/hyperlink" Target="http://en.wikipedia.org/wiki/The_Law_that_Never_Was" TargetMode="External"/><Relationship Id="rId124" Type="http://schemas.openxmlformats.org/officeDocument/2006/relationships/hyperlink" Target="http://en.wikipedia.org/wiki/The_Law_that_Never_Was" TargetMode="External"/><Relationship Id="rId129" Type="http://schemas.openxmlformats.org/officeDocument/2006/relationships/hyperlink" Target="http://en.wikipedia.org/wiki/The_Law_that_Never_Was" TargetMode="External"/><Relationship Id="rId54" Type="http://schemas.openxmlformats.org/officeDocument/2006/relationships/hyperlink" Target="http://en.wikipedia.org/wiki/Taxing_and_Spending_Clause" TargetMode="External"/><Relationship Id="rId70" Type="http://schemas.openxmlformats.org/officeDocument/2006/relationships/hyperlink" Target="http://en.wikipedia.org/wiki/Template_talk:US_taxation" TargetMode="External"/><Relationship Id="rId75" Type="http://schemas.openxmlformats.org/officeDocument/2006/relationships/hyperlink" Target="http://en.wikipedia.org/wiki/The_Law_that_Never_Was" TargetMode="External"/><Relationship Id="rId91" Type="http://schemas.openxmlformats.org/officeDocument/2006/relationships/hyperlink" Target="http://en.wikipedia.org/wiki/Constitutional_convention_%28political_meeting%29" TargetMode="External"/><Relationship Id="rId96" Type="http://schemas.openxmlformats.org/officeDocument/2006/relationships/hyperlink" Target="http://en.wikipedia.org/wiki/The_Law_that_Never_Was" TargetMode="External"/><Relationship Id="rId140" Type="http://schemas.openxmlformats.org/officeDocument/2006/relationships/hyperlink" Target="http://en.wikipedia.org/wiki/The_Law_that_Never_Was" TargetMode="External"/><Relationship Id="rId145" Type="http://schemas.openxmlformats.org/officeDocument/2006/relationships/hyperlink" Target="http://www.bop.gov/iloc2/InmateFinderServlet?Transaction=NameSearch&amp;needingMoreList=false&amp;FirstName=Wayne&amp;Middle=&amp;LastName=Wojtas&amp;Race=U&amp;Sex=U&amp;Age=&amp;x=113&amp;y=33" TargetMode="External"/><Relationship Id="rId161" Type="http://schemas.openxmlformats.org/officeDocument/2006/relationships/hyperlink" Target="http://www.irs.gov/businesses/small/article/0,,id=106507,00.html" TargetMode="External"/><Relationship Id="rId166" Type="http://schemas.openxmlformats.org/officeDocument/2006/relationships/hyperlink" Target="http://en.wikipedia.org/wiki/Category:1985_books" TargetMode="External"/><Relationship Id="rId1" Type="http://schemas.openxmlformats.org/officeDocument/2006/relationships/numbering" Target="numbering.xml"/><Relationship Id="rId6" Type="http://schemas.openxmlformats.org/officeDocument/2006/relationships/hyperlink" Target="http://en.wikipedia.org/wiki/Taxation_in_the_United_States" TargetMode="External"/><Relationship Id="rId15" Type="http://schemas.openxmlformats.org/officeDocument/2006/relationships/hyperlink" Target="http://en.wikipedia.org/wiki/Tax_protester_administrative_arguments" TargetMode="External"/><Relationship Id="rId23" Type="http://schemas.openxmlformats.org/officeDocument/2006/relationships/hyperlink" Target="http://en.wikipedia.org/wiki/Richard_Michael_Simkanin" TargetMode="External"/><Relationship Id="rId28" Type="http://schemas.openxmlformats.org/officeDocument/2006/relationships/hyperlink" Target="http://en.wikipedia.org/wiki/Tax_noncompliance" TargetMode="External"/><Relationship Id="rId36" Type="http://schemas.openxmlformats.org/officeDocument/2006/relationships/hyperlink" Target="http://en.wikipedia.org/wiki/Taxation_in_the_United_States" TargetMode="External"/><Relationship Id="rId49" Type="http://schemas.openxmlformats.org/officeDocument/2006/relationships/hyperlink" Target="http://en.wikipedia.org/wiki/Income_tax_in_the_United_States" TargetMode="External"/><Relationship Id="rId57" Type="http://schemas.openxmlformats.org/officeDocument/2006/relationships/hyperlink" Target="http://en.wikipedia.org/wiki/Tax_protester" TargetMode="External"/><Relationship Id="rId106" Type="http://schemas.openxmlformats.org/officeDocument/2006/relationships/hyperlink" Target="http://en.wikipedia.org/wiki/The_Law_that_Never_Was" TargetMode="External"/><Relationship Id="rId114" Type="http://schemas.openxmlformats.org/officeDocument/2006/relationships/hyperlink" Target="http://en.wikipedia.org/wiki/The_Law_that_Never_Was" TargetMode="External"/><Relationship Id="rId119" Type="http://schemas.openxmlformats.org/officeDocument/2006/relationships/hyperlink" Target="http://en.wikipedia.org/wiki/The_Law_that_Never_Was" TargetMode="External"/><Relationship Id="rId127" Type="http://schemas.openxmlformats.org/officeDocument/2006/relationships/hyperlink" Target="http://en.wikipedia.org/wiki/Internal_Revenue_Code" TargetMode="External"/><Relationship Id="rId10" Type="http://schemas.openxmlformats.org/officeDocument/2006/relationships/hyperlink" Target="http://en.wikipedia.org/wiki/Tax_protester_history_in_the_United_States" TargetMode="External"/><Relationship Id="rId31" Type="http://schemas.openxmlformats.org/officeDocument/2006/relationships/hyperlink" Target="http://en.wikipedia.org/wiki/Posse_Comitatus_%28organization%29" TargetMode="External"/><Relationship Id="rId44" Type="http://schemas.openxmlformats.org/officeDocument/2006/relationships/hyperlink" Target="http://en.wikipedia.org/wiki/Estate_tax_in_the_United_States" TargetMode="External"/><Relationship Id="rId52" Type="http://schemas.openxmlformats.org/officeDocument/2006/relationships/hyperlink" Target="http://en.wikipedia.org/wiki/IRS_tax_forms" TargetMode="External"/><Relationship Id="rId60" Type="http://schemas.openxmlformats.org/officeDocument/2006/relationships/hyperlink" Target="http://en.wikipedia.org/wiki/The_Law_that_Never_Was" TargetMode="External"/><Relationship Id="rId65" Type="http://schemas.openxmlformats.org/officeDocument/2006/relationships/hyperlink" Target="http://en.wikipedia.org/wiki/State_tax_levels_in_the_United_States" TargetMode="External"/><Relationship Id="rId73" Type="http://schemas.openxmlformats.org/officeDocument/2006/relationships/hyperlink" Target="http://en.wikipedia.org/wiki/Income_tax_in_the_United_States" TargetMode="External"/><Relationship Id="rId78" Type="http://schemas.openxmlformats.org/officeDocument/2006/relationships/hyperlink" Target="http://en.wikipedia.org/wiki/The_Law_that_Never_Was" TargetMode="External"/><Relationship Id="rId81" Type="http://schemas.openxmlformats.org/officeDocument/2006/relationships/hyperlink" Target="http://en.wikipedia.org/wiki/The_Law_that_Never_Was" TargetMode="External"/><Relationship Id="rId86" Type="http://schemas.openxmlformats.org/officeDocument/2006/relationships/hyperlink" Target="http://en.wikipedia.org/wiki/Article_Five_of_the_United_States_Constitution" TargetMode="External"/><Relationship Id="rId94" Type="http://schemas.openxmlformats.org/officeDocument/2006/relationships/hyperlink" Target="http://en.wikipedia.org/wiki/The_Law_that_Never_Was" TargetMode="External"/><Relationship Id="rId99" Type="http://schemas.openxmlformats.org/officeDocument/2006/relationships/hyperlink" Target="http://en.wikipedia.org/wiki/List_of_state_capitols_in_the_United_States" TargetMode="External"/><Relationship Id="rId101" Type="http://schemas.openxmlformats.org/officeDocument/2006/relationships/hyperlink" Target="http://en.wikipedia.org/wiki/The_Law_that_Never_Was" TargetMode="External"/><Relationship Id="rId122" Type="http://schemas.openxmlformats.org/officeDocument/2006/relationships/hyperlink" Target="http://en.wikipedia.org/wiki/The_Law_that_Never_Was" TargetMode="External"/><Relationship Id="rId130" Type="http://schemas.openxmlformats.org/officeDocument/2006/relationships/hyperlink" Target="http://en.wikipedia.org/wiki/Internal_Revenue_Code" TargetMode="External"/><Relationship Id="rId135" Type="http://schemas.openxmlformats.org/officeDocument/2006/relationships/hyperlink" Target="http://en.wikipedia.org/wiki/The_Law_that_Never_Was" TargetMode="External"/><Relationship Id="rId143" Type="http://schemas.openxmlformats.org/officeDocument/2006/relationships/hyperlink" Target="http://www.gpoaccess.gov/constitution/html/conamt.html" TargetMode="External"/><Relationship Id="rId148" Type="http://schemas.openxmlformats.org/officeDocument/2006/relationships/hyperlink" Target="http://en.wikipedia.org/wiki/Case_citation" TargetMode="External"/><Relationship Id="rId151" Type="http://schemas.openxmlformats.org/officeDocument/2006/relationships/hyperlink" Target="http://scholar.google.com/scholar_case?q=%22934+F.2d+840%22&amp;hl=en&amp;as_sdt=3,44&amp;case=647759442258492063&amp;scilh=0" TargetMode="External"/><Relationship Id="rId156" Type="http://schemas.openxmlformats.org/officeDocument/2006/relationships/hyperlink" Target="http://www.thelawthatneverwas.com/new/home.asp" TargetMode="External"/><Relationship Id="rId164" Type="http://schemas.openxmlformats.org/officeDocument/2006/relationships/hyperlink" Target="http://tpgurus.wikidot.com/william-benson" TargetMode="External"/><Relationship Id="rId169" Type="http://schemas.openxmlformats.org/officeDocument/2006/relationships/hyperlink" Target="http://en.wikipedia.org/wiki/Category:Taxation_in_the_United_States" TargetMode="External"/><Relationship Id="rId4" Type="http://schemas.openxmlformats.org/officeDocument/2006/relationships/webSettings" Target="webSettings.xml"/><Relationship Id="rId9" Type="http://schemas.openxmlformats.org/officeDocument/2006/relationships/image" Target="media/image1.png"/><Relationship Id="rId172" Type="http://schemas.microsoft.com/office/2007/relationships/stylesWithEffects" Target="stylesWithEffects.xml"/><Relationship Id="rId13" Type="http://schemas.openxmlformats.org/officeDocument/2006/relationships/hyperlink" Target="http://en.wikipedia.org/wiki/Tax_protester_Sixteenth_Amendment_arguments" TargetMode="External"/><Relationship Id="rId18" Type="http://schemas.openxmlformats.org/officeDocument/2006/relationships/hyperlink" Target="http://en.wikipedia.org/wiki/Robert_Clarkson" TargetMode="External"/><Relationship Id="rId39" Type="http://schemas.openxmlformats.org/officeDocument/2006/relationships/hyperlink" Target="http://en.wikipedia.org/wiki/Taxation_in_the_United_States" TargetMode="External"/><Relationship Id="rId109" Type="http://schemas.openxmlformats.org/officeDocument/2006/relationships/hyperlink" Target="http://en.wikipedia.org/wiki/The_Law_that_Never_Was" TargetMode="External"/><Relationship Id="rId34" Type="http://schemas.openxmlformats.org/officeDocument/2006/relationships/hyperlink" Target="http://en.wikipedia.org/wiki/Template_talk:Tax_protest_in_the_United_States" TargetMode="External"/><Relationship Id="rId50" Type="http://schemas.openxmlformats.org/officeDocument/2006/relationships/hyperlink" Target="http://en.wikipedia.org/wiki/Internal_Revenue_Service" TargetMode="External"/><Relationship Id="rId55" Type="http://schemas.openxmlformats.org/officeDocument/2006/relationships/hyperlink" Target="http://en.wikipedia.org/wiki/Standing_%28law%29" TargetMode="External"/><Relationship Id="rId76" Type="http://schemas.openxmlformats.org/officeDocument/2006/relationships/hyperlink" Target="http://en.wikipedia.org/wiki/The_Law_that_Never_Was" TargetMode="External"/><Relationship Id="rId97" Type="http://schemas.openxmlformats.org/officeDocument/2006/relationships/hyperlink" Target="http://en.wikipedia.org/wiki/The_Law_that_Never_Was" TargetMode="External"/><Relationship Id="rId104" Type="http://schemas.openxmlformats.org/officeDocument/2006/relationships/hyperlink" Target="http://en.wikipedia.org/wiki/The_Law_that_Never_Was" TargetMode="External"/><Relationship Id="rId120" Type="http://schemas.openxmlformats.org/officeDocument/2006/relationships/hyperlink" Target="http://en.wikipedia.org/wiki/The_Law_that_Never_Was" TargetMode="External"/><Relationship Id="rId125" Type="http://schemas.openxmlformats.org/officeDocument/2006/relationships/hyperlink" Target="http://en.wikipedia.org/wiki/The_Law_that_Never_Was" TargetMode="External"/><Relationship Id="rId141" Type="http://schemas.openxmlformats.org/officeDocument/2006/relationships/hyperlink" Target="http://en.wikipedia.org/wiki/The_Law_that_Never_Was" TargetMode="External"/><Relationship Id="rId146" Type="http://schemas.openxmlformats.org/officeDocument/2006/relationships/hyperlink" Target="http://en.wikipedia.org/wiki/Case_citation" TargetMode="External"/><Relationship Id="rId167" Type="http://schemas.openxmlformats.org/officeDocument/2006/relationships/hyperlink" Target="http://en.wikipedia.org/wiki/Category:Books_about_politics_of_the_United_States" TargetMode="External"/><Relationship Id="rId7" Type="http://schemas.openxmlformats.org/officeDocument/2006/relationships/hyperlink" Target="http://en.wikipedia.org/wiki/Tax_protester" TargetMode="External"/><Relationship Id="rId71" Type="http://schemas.openxmlformats.org/officeDocument/2006/relationships/hyperlink" Target="http://en.wikipedia.org/w/index.php?title=Template:US_taxation&amp;action=edit" TargetMode="External"/><Relationship Id="rId92" Type="http://schemas.openxmlformats.org/officeDocument/2006/relationships/hyperlink" Target="http://en.wikipedia.org/wiki/United_States_Secretary_of_State" TargetMode="External"/><Relationship Id="rId162" Type="http://schemas.openxmlformats.org/officeDocument/2006/relationships/hyperlink" Target="http://en.wikipedia.org/wiki/Internal_Revenue_Service" TargetMode="External"/><Relationship Id="rId2" Type="http://schemas.openxmlformats.org/officeDocument/2006/relationships/styles" Target="styles.xml"/><Relationship Id="rId29" Type="http://schemas.openxmlformats.org/officeDocument/2006/relationships/hyperlink" Target="http://en.wikipedia.org/wiki/Tax_resistance" TargetMode="External"/><Relationship Id="rId24" Type="http://schemas.openxmlformats.org/officeDocument/2006/relationships/hyperlink" Target="http://en.wikipedia.org/wiki/Eddie_Ray_Kahn" TargetMode="External"/><Relationship Id="rId40" Type="http://schemas.openxmlformats.org/officeDocument/2006/relationships/hyperlink" Target="http://en.wikipedia.org/wiki/The_Law_that_Never_Was" TargetMode="External"/><Relationship Id="rId45" Type="http://schemas.openxmlformats.org/officeDocument/2006/relationships/hyperlink" Target="http://en.wikipedia.org/wiki/Excise_tax_in_the_United_States" TargetMode="External"/><Relationship Id="rId66" Type="http://schemas.openxmlformats.org/officeDocument/2006/relationships/hyperlink" Target="http://en.wikipedia.org/wiki/Use_tax" TargetMode="External"/><Relationship Id="rId87" Type="http://schemas.openxmlformats.org/officeDocument/2006/relationships/hyperlink" Target="http://en.wikipedia.org/wiki/United_States" TargetMode="External"/><Relationship Id="rId110" Type="http://schemas.openxmlformats.org/officeDocument/2006/relationships/hyperlink" Target="http://en.wikipedia.org/wiki/The_Law_that_Never_Was" TargetMode="External"/><Relationship Id="rId115" Type="http://schemas.openxmlformats.org/officeDocument/2006/relationships/hyperlink" Target="http://en.wikipedia.org/wiki/The_Law_that_Never_Was" TargetMode="External"/><Relationship Id="rId131" Type="http://schemas.openxmlformats.org/officeDocument/2006/relationships/hyperlink" Target="http://www.law.cornell.edu/uscode/26/7408.html" TargetMode="External"/><Relationship Id="rId136" Type="http://schemas.openxmlformats.org/officeDocument/2006/relationships/hyperlink" Target="http://en.wikipedia.org/wiki/The_Law_that_Never_Was" TargetMode="External"/><Relationship Id="rId157" Type="http://schemas.openxmlformats.org/officeDocument/2006/relationships/hyperlink" Target="http://www.usdoj.gov/opa/pr/2008/January/08_tax_020.html" TargetMode="External"/><Relationship Id="rId61" Type="http://schemas.openxmlformats.org/officeDocument/2006/relationships/hyperlink" Target="http://en.wikipedia.org/wiki/Land_value_tax_in_the_United_States" TargetMode="External"/><Relationship Id="rId82" Type="http://schemas.openxmlformats.org/officeDocument/2006/relationships/hyperlink" Target="http://en.wikipedia.org/wiki/The_Law_that_Never_Was" TargetMode="External"/><Relationship Id="rId152" Type="http://schemas.openxmlformats.org/officeDocument/2006/relationships/hyperlink" Target="http://en.wikipedia.org/wiki/Internal_Revenue_Code" TargetMode="External"/><Relationship Id="rId19" Type="http://schemas.openxmlformats.org/officeDocument/2006/relationships/hyperlink" Target="http://en.wikipedia.org/wiki/Vivien_Kellems" TargetMode="External"/><Relationship Id="rId14" Type="http://schemas.openxmlformats.org/officeDocument/2006/relationships/hyperlink" Target="http://en.wikipedia.org/wiki/Tax_protester_statutory_arguments" TargetMode="External"/><Relationship Id="rId30" Type="http://schemas.openxmlformats.org/officeDocument/2006/relationships/hyperlink" Target="http://en.wikipedia.org/wiki/Christian_Patriot_movement" TargetMode="External"/><Relationship Id="rId35" Type="http://schemas.openxmlformats.org/officeDocument/2006/relationships/hyperlink" Target="http://en.wikipedia.org/w/index.php?title=Template:Tax_protest_in_the_United_States&amp;action=edit" TargetMode="External"/><Relationship Id="rId56" Type="http://schemas.openxmlformats.org/officeDocument/2006/relationships/hyperlink" Target="http://en.wikipedia.org/wiki/United_States_Tax_Court" TargetMode="External"/><Relationship Id="rId77" Type="http://schemas.openxmlformats.org/officeDocument/2006/relationships/hyperlink" Target="http://en.wikipedia.org/wiki/The_Law_that_Never_Was" TargetMode="External"/><Relationship Id="rId100" Type="http://schemas.openxmlformats.org/officeDocument/2006/relationships/hyperlink" Target="http://en.wikipedia.org/wiki/New_England" TargetMode="External"/><Relationship Id="rId105" Type="http://schemas.openxmlformats.org/officeDocument/2006/relationships/hyperlink" Target="http://en.wikipedia.org/wiki/Frivolous_litigation" TargetMode="External"/><Relationship Id="rId126" Type="http://schemas.openxmlformats.org/officeDocument/2006/relationships/hyperlink" Target="http://en.wikipedia.org/wiki/The_Law_that_Never_Was" TargetMode="External"/><Relationship Id="rId147" Type="http://schemas.openxmlformats.org/officeDocument/2006/relationships/hyperlink" Target="http://en.wikipedia.org/wiki/7th_Cir." TargetMode="External"/><Relationship Id="rId168" Type="http://schemas.openxmlformats.org/officeDocument/2006/relationships/hyperlink" Target="http://en.wikipedia.org/wiki/Category:Fraud_in_the_United_States" TargetMode="External"/><Relationship Id="rId8" Type="http://schemas.openxmlformats.org/officeDocument/2006/relationships/hyperlink" Target="http://en.wikipedia.org/wiki/File:No_IRS.svg" TargetMode="External"/><Relationship Id="rId51" Type="http://schemas.openxmlformats.org/officeDocument/2006/relationships/hyperlink" Target="http://en.wikipedia.org/wiki/Internal_Revenue_Code" TargetMode="External"/><Relationship Id="rId72" Type="http://schemas.openxmlformats.org/officeDocument/2006/relationships/hyperlink" Target="http://en.wikipedia.org/wiki/Sixteenth_Amendment_to_the_United_States_Constitution" TargetMode="External"/><Relationship Id="rId93" Type="http://schemas.openxmlformats.org/officeDocument/2006/relationships/hyperlink" Target="http://en.wikipedia.org/wiki/Philander_C._Knox" TargetMode="External"/><Relationship Id="rId98" Type="http://schemas.openxmlformats.org/officeDocument/2006/relationships/hyperlink" Target="http://en.wikipedia.org/wiki/National_Archives" TargetMode="External"/><Relationship Id="rId121" Type="http://schemas.openxmlformats.org/officeDocument/2006/relationships/hyperlink" Target="http://en.wikipedia.org/wiki/The_Law_that_Never_Was" TargetMode="External"/><Relationship Id="rId142" Type="http://schemas.openxmlformats.org/officeDocument/2006/relationships/hyperlink" Target="http://en.wikipedia.org/wiki/Tax_protester_Sixteenth_Amendment_arguments" TargetMode="External"/><Relationship Id="rId163" Type="http://schemas.openxmlformats.org/officeDocument/2006/relationships/hyperlink" Target="http://www.thelawthatneverwas.com/" TargetMode="External"/><Relationship Id="rId3" Type="http://schemas.openxmlformats.org/officeDocument/2006/relationships/settings" Target="settings.xml"/><Relationship Id="rId25" Type="http://schemas.openxmlformats.org/officeDocument/2006/relationships/hyperlink" Target="http://en.wikipedia.org/wiki/America:_Freedom_to_Fascism" TargetMode="External"/><Relationship Id="rId46" Type="http://schemas.openxmlformats.org/officeDocument/2006/relationships/hyperlink" Target="http://en.wikipedia.org/wiki/Federal_Insurance_Contributions_Act_tax" TargetMode="External"/><Relationship Id="rId67" Type="http://schemas.openxmlformats.org/officeDocument/2006/relationships/hyperlink" Target="http://en.wikipedia.org/wiki/Tax_reform" TargetMode="External"/><Relationship Id="rId116" Type="http://schemas.openxmlformats.org/officeDocument/2006/relationships/hyperlink" Target="http://en.wikipedia.org/wiki/Brushaber_v._Union_Pacific_Railroad" TargetMode="External"/><Relationship Id="rId137" Type="http://schemas.openxmlformats.org/officeDocument/2006/relationships/hyperlink" Target="http://en.wikipedia.org/wiki/The_Law_that_Never_Was" TargetMode="External"/><Relationship Id="rId158" Type="http://schemas.openxmlformats.org/officeDocument/2006/relationships/hyperlink" Target="http://www.bop.gov/iloc2/InmateFinderServlet?Transaction=IDSearch&amp;needingMoreList=false&amp;IDType=IRN&amp;IDNumber=13339-040&amp;x=95&amp;y=9" TargetMode="External"/><Relationship Id="rId20" Type="http://schemas.openxmlformats.org/officeDocument/2006/relationships/hyperlink" Target="http://en.wikipedia.org/wiki/Irwin_Schiff" TargetMode="External"/><Relationship Id="rId41" Type="http://schemas.openxmlformats.org/officeDocument/2006/relationships/hyperlink" Target="http://en.wikipedia.org/wiki/Alternative_minimum_tax" TargetMode="External"/><Relationship Id="rId62" Type="http://schemas.openxmlformats.org/officeDocument/2006/relationships/hyperlink" Target="http://en.wikipedia.org/wiki/Property_tax_in_the_United_States" TargetMode="External"/><Relationship Id="rId83" Type="http://schemas.openxmlformats.org/officeDocument/2006/relationships/hyperlink" Target="http://en.wikipedia.org/wiki/The_Law_that_Never_Was" TargetMode="External"/><Relationship Id="rId88" Type="http://schemas.openxmlformats.org/officeDocument/2006/relationships/hyperlink" Target="http://en.wikipedia.org/wiki/United_States_Congress" TargetMode="External"/><Relationship Id="rId111" Type="http://schemas.openxmlformats.org/officeDocument/2006/relationships/hyperlink" Target="http://en.wikipedia.org/wiki/The_Law_that_Never_Was" TargetMode="External"/><Relationship Id="rId132" Type="http://schemas.openxmlformats.org/officeDocument/2006/relationships/hyperlink" Target="http://en.wikipedia.org/wiki/The_Law_that_Never_Was" TargetMode="External"/><Relationship Id="rId153" Type="http://schemas.openxmlformats.org/officeDocument/2006/relationships/hyperlink" Target="http://www.law.cornell.edu/uscode/26/67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6065</Words>
  <Characters>34574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Joseph_2</cp:lastModifiedBy>
  <cp:revision>9</cp:revision>
  <dcterms:created xsi:type="dcterms:W3CDTF">2011-11-09T16:21:00Z</dcterms:created>
  <dcterms:modified xsi:type="dcterms:W3CDTF">2015-01-15T09:52:00Z</dcterms:modified>
</cp:coreProperties>
</file>